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86D54" w14:textId="1FE6EF82" w:rsidR="005863A4" w:rsidRDefault="00516499" w:rsidP="00164CAB">
      <w:pPr>
        <w:rPr>
          <w:rFonts w:ascii="Arial" w:hAnsi="Arial" w:cs="Arial"/>
          <w:b/>
          <w:bCs/>
          <w:sz w:val="24"/>
          <w:szCs w:val="24"/>
        </w:rPr>
      </w:pPr>
      <w:r>
        <w:rPr>
          <w:noProof/>
        </w:rPr>
        <w:drawing>
          <wp:inline distT="0" distB="0" distL="0" distR="0" wp14:anchorId="303A30EC" wp14:editId="40AFADD7">
            <wp:extent cx="2019631" cy="5957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5240" cy="615070"/>
                    </a:xfrm>
                    <a:prstGeom prst="rect">
                      <a:avLst/>
                    </a:prstGeom>
                    <a:noFill/>
                    <a:ln>
                      <a:noFill/>
                    </a:ln>
                  </pic:spPr>
                </pic:pic>
              </a:graphicData>
            </a:graphic>
          </wp:inline>
        </w:drawing>
      </w:r>
    </w:p>
    <w:p w14:paraId="3FF84B8F" w14:textId="77777777" w:rsidR="003771E6" w:rsidRPr="00E97760" w:rsidRDefault="003771E6" w:rsidP="00164CAB">
      <w:pPr>
        <w:ind w:right="95"/>
        <w:rPr>
          <w:rFonts w:ascii="Arial" w:hAnsi="Arial" w:cs="Arial"/>
          <w:b/>
          <w:bCs/>
          <w:sz w:val="24"/>
          <w:szCs w:val="24"/>
        </w:rPr>
      </w:pPr>
    </w:p>
    <w:p w14:paraId="26BAE707" w14:textId="45DD4942" w:rsidR="00C16229" w:rsidRPr="00E97760" w:rsidRDefault="002F0404" w:rsidP="00164CAB">
      <w:pPr>
        <w:spacing w:before="100" w:beforeAutospacing="1" w:after="100" w:afterAutospacing="1" w:line="240" w:lineRule="auto"/>
        <w:ind w:right="95"/>
        <w:jc w:val="center"/>
        <w:rPr>
          <w:rFonts w:ascii="Arial" w:hAnsi="Arial" w:cs="Arial"/>
          <w:b/>
          <w:bCs/>
          <w:sz w:val="24"/>
          <w:szCs w:val="24"/>
        </w:rPr>
      </w:pPr>
      <w:r w:rsidRPr="00E97760">
        <w:rPr>
          <w:rFonts w:ascii="Arial" w:hAnsi="Arial" w:cs="Arial"/>
          <w:b/>
          <w:bCs/>
          <w:sz w:val="24"/>
          <w:szCs w:val="24"/>
        </w:rPr>
        <w:t xml:space="preserve">Literature Review – </w:t>
      </w:r>
      <w:r w:rsidR="00145A9B" w:rsidRPr="00E97760">
        <w:rPr>
          <w:rFonts w:ascii="Arial" w:hAnsi="Arial" w:cs="Arial"/>
          <w:b/>
          <w:bCs/>
          <w:sz w:val="24"/>
          <w:szCs w:val="24"/>
        </w:rPr>
        <w:t>exploring the effectiveness of</w:t>
      </w:r>
      <w:r w:rsidRPr="00E97760">
        <w:rPr>
          <w:rFonts w:ascii="Arial" w:hAnsi="Arial" w:cs="Arial"/>
          <w:b/>
          <w:bCs/>
          <w:sz w:val="24"/>
          <w:szCs w:val="24"/>
        </w:rPr>
        <w:t xml:space="preserve"> sentencing</w:t>
      </w:r>
    </w:p>
    <w:p w14:paraId="5FC3769C" w14:textId="55503D75" w:rsidR="00BA69EC" w:rsidRDefault="00C16229" w:rsidP="00164CAB">
      <w:pPr>
        <w:spacing w:before="100" w:beforeAutospacing="1" w:after="100" w:afterAutospacing="1" w:line="240" w:lineRule="auto"/>
        <w:ind w:right="95"/>
        <w:rPr>
          <w:rFonts w:ascii="Arial" w:hAnsi="Arial" w:cs="Arial"/>
        </w:rPr>
      </w:pPr>
      <w:r w:rsidRPr="00DE1B0B">
        <w:rPr>
          <w:rFonts w:ascii="Arial" w:hAnsi="Arial" w:cs="Arial"/>
        </w:rPr>
        <w:t>The Sentencing</w:t>
      </w:r>
      <w:r w:rsidR="002E0AF7" w:rsidRPr="00DE1B0B">
        <w:rPr>
          <w:rFonts w:ascii="Arial" w:hAnsi="Arial" w:cs="Arial"/>
        </w:rPr>
        <w:t xml:space="preserve"> Council </w:t>
      </w:r>
      <w:r w:rsidR="006914E7" w:rsidRPr="00DE1B0B">
        <w:rPr>
          <w:rFonts w:ascii="Arial" w:hAnsi="Arial" w:cs="Arial"/>
        </w:rPr>
        <w:t xml:space="preserve">is inviting </w:t>
      </w:r>
      <w:r w:rsidR="00E506BE">
        <w:rPr>
          <w:rFonts w:ascii="Arial" w:hAnsi="Arial" w:cs="Arial"/>
        </w:rPr>
        <w:t xml:space="preserve">bids </w:t>
      </w:r>
      <w:r w:rsidR="00141282" w:rsidRPr="00DE1B0B">
        <w:rPr>
          <w:rFonts w:ascii="Arial" w:hAnsi="Arial" w:cs="Arial"/>
        </w:rPr>
        <w:t xml:space="preserve">to conduct a literature review </w:t>
      </w:r>
      <w:r w:rsidR="00DA76F6" w:rsidRPr="00DE1B0B">
        <w:rPr>
          <w:rFonts w:ascii="Arial" w:hAnsi="Arial" w:cs="Arial"/>
        </w:rPr>
        <w:t xml:space="preserve">bringing together the evidence </w:t>
      </w:r>
      <w:r w:rsidR="00BA69EC">
        <w:rPr>
          <w:rFonts w:ascii="Arial" w:hAnsi="Arial" w:cs="Arial"/>
        </w:rPr>
        <w:t>on effectiveness of sentencing to support the Council’s statutory duty in this area.</w:t>
      </w:r>
    </w:p>
    <w:p w14:paraId="4D4B9423" w14:textId="6939C376" w:rsidR="00071C50" w:rsidRPr="00E97760" w:rsidRDefault="002900EE" w:rsidP="00164CAB">
      <w:pPr>
        <w:spacing w:before="100" w:beforeAutospacing="1" w:after="100" w:afterAutospacing="1" w:line="240" w:lineRule="auto"/>
        <w:ind w:right="95"/>
        <w:rPr>
          <w:rFonts w:ascii="Arial" w:hAnsi="Arial" w:cs="Arial"/>
          <w:b/>
          <w:bCs/>
        </w:rPr>
      </w:pPr>
      <w:r>
        <w:rPr>
          <w:rFonts w:ascii="Arial" w:hAnsi="Arial" w:cs="Arial"/>
          <w:b/>
          <w:bCs/>
        </w:rPr>
        <w:t xml:space="preserve">1. </w:t>
      </w:r>
      <w:r w:rsidR="00071C50" w:rsidRPr="00E97760">
        <w:rPr>
          <w:rFonts w:ascii="Arial" w:hAnsi="Arial" w:cs="Arial"/>
          <w:b/>
          <w:bCs/>
        </w:rPr>
        <w:t>Background</w:t>
      </w:r>
    </w:p>
    <w:p w14:paraId="1AA5D2DD" w14:textId="6C916C10" w:rsidR="005A3D5A" w:rsidRPr="00D169D2" w:rsidRDefault="00516499" w:rsidP="00164CAB">
      <w:pPr>
        <w:shd w:val="clear" w:color="auto" w:fill="FFFFFF"/>
        <w:spacing w:before="100" w:beforeAutospacing="1" w:after="100" w:afterAutospacing="1" w:line="240" w:lineRule="auto"/>
        <w:ind w:right="95"/>
        <w:rPr>
          <w:rFonts w:ascii="Arial" w:hAnsi="Arial" w:cs="Arial"/>
        </w:rPr>
      </w:pPr>
      <w:r>
        <w:rPr>
          <w:rFonts w:ascii="Arial" w:hAnsi="Arial" w:cs="Arial"/>
        </w:rPr>
        <w:t>1.1</w:t>
      </w:r>
      <w:r w:rsidR="002900EE">
        <w:rPr>
          <w:rFonts w:ascii="Arial" w:hAnsi="Arial" w:cs="Arial"/>
        </w:rPr>
        <w:tab/>
      </w:r>
      <w:r w:rsidR="005A3D5A" w:rsidRPr="005A3D5A">
        <w:rPr>
          <w:rFonts w:ascii="Arial" w:hAnsi="Arial" w:cs="Arial"/>
        </w:rPr>
        <w:t>The Sentencing Council for England and Wales promotes a clear, fair and consistent approach to sentencing by issuing sentencing guidelines which provide clear structures and processes for judges and magistrates to use in court and promotes awareness and understanding of sentencing among victims, witnesses, offenders and the public.</w:t>
      </w:r>
      <w:r w:rsidR="00D169D2">
        <w:rPr>
          <w:rFonts w:ascii="Arial" w:hAnsi="Arial" w:cs="Arial"/>
        </w:rPr>
        <w:t xml:space="preserve"> </w:t>
      </w:r>
      <w:r w:rsidR="00D169D2" w:rsidRPr="00D169D2">
        <w:rPr>
          <w:rFonts w:ascii="Arial" w:hAnsi="Arial" w:cs="Arial"/>
        </w:rPr>
        <w:t>This purpose is underpinned by the statutory duties for the Council that are set out in the Coroners and Justice Act 2009</w:t>
      </w:r>
      <w:r w:rsidR="00062EC2">
        <w:rPr>
          <w:rFonts w:ascii="Arial" w:hAnsi="Arial" w:cs="Arial"/>
        </w:rPr>
        <w:t xml:space="preserve"> (C&amp;JA 2009).</w:t>
      </w:r>
    </w:p>
    <w:p w14:paraId="2D2D11C0" w14:textId="2A8148CD" w:rsidR="003918A4" w:rsidRPr="00DD03F9" w:rsidRDefault="002900EE" w:rsidP="00164CAB">
      <w:pPr>
        <w:shd w:val="clear" w:color="auto" w:fill="FFFFFF"/>
        <w:spacing w:before="100" w:beforeAutospacing="1" w:after="100" w:afterAutospacing="1" w:line="240" w:lineRule="auto"/>
        <w:ind w:right="95"/>
        <w:rPr>
          <w:rFonts w:ascii="Arial" w:hAnsi="Arial" w:cs="Arial"/>
        </w:rPr>
      </w:pPr>
      <w:r>
        <w:rPr>
          <w:rFonts w:ascii="Arial" w:hAnsi="Arial" w:cs="Arial"/>
        </w:rPr>
        <w:t>1.2</w:t>
      </w:r>
      <w:r>
        <w:rPr>
          <w:rFonts w:ascii="Arial" w:hAnsi="Arial" w:cs="Arial"/>
        </w:rPr>
        <w:tab/>
      </w:r>
      <w:r w:rsidR="0073367C">
        <w:rPr>
          <w:rFonts w:ascii="Arial" w:hAnsi="Arial" w:cs="Arial"/>
        </w:rPr>
        <w:t xml:space="preserve">As part of its statutory duties, the </w:t>
      </w:r>
      <w:r w:rsidR="004F5962" w:rsidRPr="00B819A3">
        <w:rPr>
          <w:rFonts w:ascii="Arial" w:hAnsi="Arial" w:cs="Arial"/>
        </w:rPr>
        <w:t xml:space="preserve"> </w:t>
      </w:r>
      <w:r w:rsidR="00AB5701" w:rsidRPr="00DE1B0B">
        <w:rPr>
          <w:rFonts w:ascii="Arial" w:hAnsi="Arial" w:cs="Arial"/>
        </w:rPr>
        <w:t xml:space="preserve">Council is required to have regard to the cost of different sentences and their relative effectiveness in preventing reoffending when developing guidelines. </w:t>
      </w:r>
      <w:r w:rsidR="0073367C">
        <w:rPr>
          <w:rFonts w:ascii="Arial" w:hAnsi="Arial" w:cs="Arial"/>
        </w:rPr>
        <w:t>Its</w:t>
      </w:r>
      <w:r w:rsidR="000559F1">
        <w:rPr>
          <w:rFonts w:ascii="Arial" w:hAnsi="Arial" w:cs="Arial"/>
        </w:rPr>
        <w:t xml:space="preserve"> duty</w:t>
      </w:r>
      <w:r w:rsidR="006363A4" w:rsidRPr="00263695">
        <w:rPr>
          <w:rFonts w:ascii="Arial" w:hAnsi="Arial" w:cs="Arial"/>
        </w:rPr>
        <w:t xml:space="preserve"> in relation to this appears in two sections of the C&amp;JA 2009: </w:t>
      </w:r>
      <w:r w:rsidR="00062EC2">
        <w:rPr>
          <w:rFonts w:ascii="Arial" w:hAnsi="Arial" w:cs="Arial"/>
        </w:rPr>
        <w:t xml:space="preserve">in </w:t>
      </w:r>
      <w:r w:rsidR="006363A4" w:rsidRPr="00263695">
        <w:rPr>
          <w:rFonts w:ascii="Arial" w:hAnsi="Arial" w:cs="Arial"/>
        </w:rPr>
        <w:t xml:space="preserve">section 120, where the Council must have regard to the cost of different sentences and their relative effectiveness in preventing reoffending, and </w:t>
      </w:r>
      <w:r w:rsidR="00062EC2">
        <w:rPr>
          <w:rFonts w:ascii="Arial" w:hAnsi="Arial" w:cs="Arial"/>
        </w:rPr>
        <w:t xml:space="preserve">in </w:t>
      </w:r>
      <w:r w:rsidR="006363A4" w:rsidRPr="00263695">
        <w:rPr>
          <w:rFonts w:ascii="Arial" w:hAnsi="Arial" w:cs="Arial"/>
        </w:rPr>
        <w:t>section 129, which covers promoting awareness of this.</w:t>
      </w:r>
      <w:r w:rsidR="00DD03F9">
        <w:rPr>
          <w:rFonts w:ascii="Arial" w:hAnsi="Arial" w:cs="Arial"/>
        </w:rPr>
        <w:t xml:space="preserve"> </w:t>
      </w:r>
      <w:r w:rsidR="00DD03F9" w:rsidRPr="00150218">
        <w:rPr>
          <w:rFonts w:ascii="Arial" w:hAnsi="Arial" w:cs="Arial"/>
        </w:rPr>
        <w:t>The Council’s approach to this in recent years has been to produce an annual internal document outlining the latest research evidence in this area regarding reoffending.</w:t>
      </w:r>
    </w:p>
    <w:p w14:paraId="283964CA" w14:textId="3F22506B" w:rsidR="00B819A3" w:rsidRDefault="002900EE" w:rsidP="00164CAB">
      <w:pPr>
        <w:shd w:val="clear" w:color="auto" w:fill="FFFFFF"/>
        <w:spacing w:before="100" w:beforeAutospacing="1" w:after="100" w:afterAutospacing="1" w:line="240" w:lineRule="auto"/>
        <w:ind w:right="95"/>
        <w:rPr>
          <w:rFonts w:ascii="Arial" w:hAnsi="Arial" w:cs="Arial"/>
        </w:rPr>
      </w:pPr>
      <w:r>
        <w:rPr>
          <w:rFonts w:ascii="Arial" w:hAnsi="Arial" w:cs="Arial"/>
        </w:rPr>
        <w:t>1.3</w:t>
      </w:r>
      <w:r>
        <w:rPr>
          <w:rFonts w:ascii="Arial" w:hAnsi="Arial" w:cs="Arial"/>
        </w:rPr>
        <w:tab/>
      </w:r>
      <w:r w:rsidR="00DC3ACE" w:rsidRPr="00B819A3">
        <w:rPr>
          <w:rFonts w:ascii="Arial" w:hAnsi="Arial" w:cs="Arial"/>
        </w:rPr>
        <w:t>The Council’s commitment to</w:t>
      </w:r>
      <w:r w:rsidR="008E6469">
        <w:rPr>
          <w:rFonts w:ascii="Arial" w:hAnsi="Arial" w:cs="Arial"/>
        </w:rPr>
        <w:t xml:space="preserve"> this area of work </w:t>
      </w:r>
      <w:r w:rsidR="00C73F26" w:rsidRPr="00B819A3">
        <w:rPr>
          <w:rFonts w:ascii="Arial" w:hAnsi="Arial" w:cs="Arial"/>
        </w:rPr>
        <w:t xml:space="preserve">has recently been restated </w:t>
      </w:r>
      <w:r w:rsidR="003539F7" w:rsidRPr="00B819A3">
        <w:rPr>
          <w:rFonts w:ascii="Arial" w:hAnsi="Arial" w:cs="Arial"/>
        </w:rPr>
        <w:t xml:space="preserve">in its publication the ‘Sentencing Council </w:t>
      </w:r>
      <w:r w:rsidR="000B616C" w:rsidRPr="00B819A3">
        <w:rPr>
          <w:rFonts w:ascii="Arial" w:hAnsi="Arial" w:cs="Arial"/>
        </w:rPr>
        <w:t>s</w:t>
      </w:r>
      <w:r w:rsidR="003539F7" w:rsidRPr="00B819A3">
        <w:rPr>
          <w:rFonts w:ascii="Arial" w:hAnsi="Arial" w:cs="Arial"/>
        </w:rPr>
        <w:t xml:space="preserve">trategic </w:t>
      </w:r>
      <w:r w:rsidR="000B616C" w:rsidRPr="00B819A3">
        <w:rPr>
          <w:rFonts w:ascii="Arial" w:hAnsi="Arial" w:cs="Arial"/>
        </w:rPr>
        <w:t>o</w:t>
      </w:r>
      <w:r w:rsidR="003539F7" w:rsidRPr="00B819A3">
        <w:rPr>
          <w:rFonts w:ascii="Arial" w:hAnsi="Arial" w:cs="Arial"/>
        </w:rPr>
        <w:t>bjectives</w:t>
      </w:r>
      <w:r w:rsidR="000B616C" w:rsidRPr="00B819A3">
        <w:rPr>
          <w:rFonts w:ascii="Arial" w:hAnsi="Arial" w:cs="Arial"/>
        </w:rPr>
        <w:t xml:space="preserve"> 2021-2026</w:t>
      </w:r>
      <w:r w:rsidR="004A6FD3">
        <w:rPr>
          <w:rStyle w:val="FootnoteReference"/>
          <w:rFonts w:ascii="Arial" w:hAnsi="Arial"/>
        </w:rPr>
        <w:footnoteReference w:id="1"/>
      </w:r>
      <w:r w:rsidR="000B616C" w:rsidRPr="00B819A3">
        <w:rPr>
          <w:rFonts w:ascii="Arial" w:hAnsi="Arial" w:cs="Arial"/>
        </w:rPr>
        <w:t>’</w:t>
      </w:r>
      <w:r w:rsidR="00C73F26" w:rsidRPr="00B819A3">
        <w:rPr>
          <w:rFonts w:ascii="Arial" w:hAnsi="Arial" w:cs="Arial"/>
        </w:rPr>
        <w:t xml:space="preserve"> that sets out </w:t>
      </w:r>
      <w:r w:rsidR="00D4701D" w:rsidRPr="00B819A3">
        <w:rPr>
          <w:rFonts w:ascii="Arial" w:hAnsi="Arial" w:cs="Arial"/>
        </w:rPr>
        <w:t xml:space="preserve">its priorities and actions for the </w:t>
      </w:r>
      <w:r w:rsidR="00C73F26" w:rsidRPr="00B819A3">
        <w:rPr>
          <w:rFonts w:ascii="Arial" w:hAnsi="Arial" w:cs="Arial"/>
        </w:rPr>
        <w:t>next five years.</w:t>
      </w:r>
      <w:r w:rsidR="008F3EE4" w:rsidRPr="00B819A3">
        <w:rPr>
          <w:rFonts w:ascii="Arial" w:hAnsi="Arial" w:cs="Arial"/>
        </w:rPr>
        <w:t xml:space="preserve">  </w:t>
      </w:r>
      <w:r w:rsidR="00A13C1A">
        <w:rPr>
          <w:rFonts w:ascii="Arial" w:hAnsi="Arial" w:cs="Arial"/>
        </w:rPr>
        <w:t xml:space="preserve">As part of this, </w:t>
      </w:r>
      <w:r w:rsidR="00A1486F">
        <w:rPr>
          <w:rFonts w:ascii="Arial" w:hAnsi="Arial" w:cs="Arial"/>
        </w:rPr>
        <w:t>the Council has committed to</w:t>
      </w:r>
      <w:r w:rsidR="00150218">
        <w:rPr>
          <w:rFonts w:ascii="Arial" w:hAnsi="Arial" w:cs="Arial"/>
        </w:rPr>
        <w:t xml:space="preserve"> publishing work in this area</w:t>
      </w:r>
      <w:r w:rsidR="001D5E3A">
        <w:rPr>
          <w:rFonts w:ascii="Arial" w:hAnsi="Arial" w:cs="Arial"/>
        </w:rPr>
        <w:t xml:space="preserve"> and has</w:t>
      </w:r>
      <w:r w:rsidR="00A1486F">
        <w:rPr>
          <w:rFonts w:ascii="Arial" w:hAnsi="Arial" w:cs="Arial"/>
        </w:rPr>
        <w:t xml:space="preserve"> an overarching objective </w:t>
      </w:r>
      <w:r w:rsidR="00BD5739">
        <w:rPr>
          <w:rFonts w:ascii="Arial" w:hAnsi="Arial" w:cs="Arial"/>
        </w:rPr>
        <w:t xml:space="preserve">to </w:t>
      </w:r>
      <w:r w:rsidR="00BD5739" w:rsidRPr="0073367C">
        <w:rPr>
          <w:rFonts w:ascii="Arial" w:hAnsi="Arial" w:cs="Arial"/>
          <w:i/>
          <w:iCs/>
        </w:rPr>
        <w:t>‘</w:t>
      </w:r>
      <w:r w:rsidR="00B819A3" w:rsidRPr="0073367C">
        <w:rPr>
          <w:rFonts w:ascii="Arial" w:hAnsi="Arial" w:cs="Arial"/>
          <w:i/>
          <w:iCs/>
        </w:rPr>
        <w:t>consider and collate evidence on effectiveness of sentencing and seek to enhance the ways in which we raise awareness of the relevant issues</w:t>
      </w:r>
      <w:r w:rsidR="003C3BD4" w:rsidRPr="0073367C">
        <w:rPr>
          <w:rFonts w:ascii="Arial" w:hAnsi="Arial" w:cs="Arial"/>
          <w:i/>
          <w:iCs/>
        </w:rPr>
        <w:t>’.</w:t>
      </w:r>
      <w:r w:rsidR="003C3BD4">
        <w:rPr>
          <w:rFonts w:ascii="Arial" w:hAnsi="Arial" w:cs="Arial"/>
        </w:rPr>
        <w:t xml:space="preserve"> To this end</w:t>
      </w:r>
      <w:r w:rsidR="0027770B">
        <w:rPr>
          <w:rFonts w:ascii="Arial" w:hAnsi="Arial" w:cs="Arial"/>
        </w:rPr>
        <w:t>,</w:t>
      </w:r>
      <w:r w:rsidR="003C3BD4">
        <w:rPr>
          <w:rFonts w:ascii="Arial" w:hAnsi="Arial" w:cs="Arial"/>
        </w:rPr>
        <w:t xml:space="preserve"> the Council wishes to commission </w:t>
      </w:r>
      <w:r w:rsidR="003B41F8">
        <w:rPr>
          <w:rFonts w:ascii="Arial" w:hAnsi="Arial" w:cs="Arial"/>
        </w:rPr>
        <w:t>this</w:t>
      </w:r>
      <w:r w:rsidR="003C3BD4">
        <w:rPr>
          <w:rFonts w:ascii="Arial" w:hAnsi="Arial" w:cs="Arial"/>
        </w:rPr>
        <w:t xml:space="preserve"> literature review </w:t>
      </w:r>
      <w:r w:rsidR="004A6FD3">
        <w:rPr>
          <w:rFonts w:ascii="Arial" w:hAnsi="Arial" w:cs="Arial"/>
        </w:rPr>
        <w:t>t</w:t>
      </w:r>
      <w:r w:rsidR="00BD5739">
        <w:rPr>
          <w:rFonts w:ascii="Arial" w:hAnsi="Arial" w:cs="Arial"/>
        </w:rPr>
        <w:t>o</w:t>
      </w:r>
      <w:r w:rsidR="003B41F8">
        <w:rPr>
          <w:rFonts w:ascii="Arial" w:hAnsi="Arial" w:cs="Arial"/>
        </w:rPr>
        <w:t xml:space="preserve"> </w:t>
      </w:r>
      <w:r w:rsidR="00983CF6">
        <w:rPr>
          <w:rFonts w:ascii="Arial" w:hAnsi="Arial" w:cs="Arial"/>
        </w:rPr>
        <w:t>enabl</w:t>
      </w:r>
      <w:r w:rsidR="00BD5739">
        <w:rPr>
          <w:rFonts w:ascii="Arial" w:hAnsi="Arial" w:cs="Arial"/>
        </w:rPr>
        <w:t>e it</w:t>
      </w:r>
      <w:r w:rsidR="00983CF6">
        <w:rPr>
          <w:rFonts w:ascii="Arial" w:hAnsi="Arial" w:cs="Arial"/>
        </w:rPr>
        <w:t xml:space="preserve"> to </w:t>
      </w:r>
      <w:r w:rsidR="002A6B68">
        <w:rPr>
          <w:rFonts w:ascii="Arial" w:hAnsi="Arial" w:cs="Arial"/>
        </w:rPr>
        <w:t>consider</w:t>
      </w:r>
      <w:r w:rsidR="00983CF6">
        <w:rPr>
          <w:rFonts w:ascii="Arial" w:hAnsi="Arial" w:cs="Arial"/>
        </w:rPr>
        <w:t xml:space="preserve"> </w:t>
      </w:r>
      <w:r w:rsidR="00E92F70">
        <w:rPr>
          <w:rFonts w:ascii="Arial" w:hAnsi="Arial" w:cs="Arial"/>
        </w:rPr>
        <w:t xml:space="preserve">the most up to date </w:t>
      </w:r>
      <w:r w:rsidR="00983CF6">
        <w:rPr>
          <w:rFonts w:ascii="Arial" w:hAnsi="Arial" w:cs="Arial"/>
        </w:rPr>
        <w:t>evidence when developing</w:t>
      </w:r>
      <w:r w:rsidR="00962893">
        <w:rPr>
          <w:rFonts w:ascii="Arial" w:hAnsi="Arial" w:cs="Arial"/>
        </w:rPr>
        <w:t xml:space="preserve"> and revising</w:t>
      </w:r>
      <w:r w:rsidR="00983CF6">
        <w:rPr>
          <w:rFonts w:ascii="Arial" w:hAnsi="Arial" w:cs="Arial"/>
        </w:rPr>
        <w:t xml:space="preserve"> guidelines</w:t>
      </w:r>
      <w:r w:rsidR="004106ED">
        <w:rPr>
          <w:rFonts w:ascii="Arial" w:hAnsi="Arial" w:cs="Arial"/>
        </w:rPr>
        <w:t>.</w:t>
      </w:r>
    </w:p>
    <w:p w14:paraId="0C96C287" w14:textId="39E6842B" w:rsidR="0006252B" w:rsidRDefault="003771E6" w:rsidP="00164CAB">
      <w:pPr>
        <w:shd w:val="clear" w:color="auto" w:fill="FFFFFF"/>
        <w:spacing w:before="100" w:beforeAutospacing="1" w:after="100" w:afterAutospacing="1" w:line="240" w:lineRule="auto"/>
        <w:ind w:right="95"/>
        <w:rPr>
          <w:rFonts w:ascii="Arial" w:hAnsi="Arial" w:cs="Arial"/>
          <w:iCs/>
          <w:color w:val="000000"/>
        </w:rPr>
      </w:pPr>
      <w:r>
        <w:rPr>
          <w:rFonts w:ascii="Arial" w:hAnsi="Arial" w:cs="Arial"/>
          <w:iCs/>
          <w:color w:val="000000"/>
        </w:rPr>
        <w:t>1.4</w:t>
      </w:r>
      <w:r>
        <w:rPr>
          <w:rFonts w:ascii="Arial" w:hAnsi="Arial" w:cs="Arial"/>
          <w:iCs/>
          <w:color w:val="000000"/>
        </w:rPr>
        <w:tab/>
      </w:r>
      <w:r w:rsidR="000225EB" w:rsidRPr="00E6246C">
        <w:rPr>
          <w:rFonts w:ascii="Arial" w:hAnsi="Arial" w:cs="Arial"/>
          <w:iCs/>
          <w:color w:val="000000"/>
        </w:rPr>
        <w:t>The contract will be worth a value of no greater than £</w:t>
      </w:r>
      <w:r w:rsidR="000225EB">
        <w:rPr>
          <w:rFonts w:ascii="Arial" w:hAnsi="Arial" w:cs="Arial"/>
          <w:iCs/>
          <w:color w:val="000000"/>
        </w:rPr>
        <w:t>9,950</w:t>
      </w:r>
      <w:r w:rsidR="000851A8">
        <w:rPr>
          <w:rFonts w:ascii="Arial" w:hAnsi="Arial" w:cs="Arial"/>
          <w:iCs/>
          <w:color w:val="000000"/>
        </w:rPr>
        <w:t xml:space="preserve"> (exc</w:t>
      </w:r>
      <w:r w:rsidR="00062EC2">
        <w:rPr>
          <w:rFonts w:ascii="Arial" w:hAnsi="Arial" w:cs="Arial"/>
          <w:iCs/>
          <w:color w:val="000000"/>
        </w:rPr>
        <w:t>l</w:t>
      </w:r>
      <w:r w:rsidR="00B55B20">
        <w:rPr>
          <w:rFonts w:ascii="Arial" w:hAnsi="Arial" w:cs="Arial"/>
          <w:iCs/>
          <w:color w:val="000000"/>
        </w:rPr>
        <w:t>uding</w:t>
      </w:r>
      <w:r w:rsidR="000851A8">
        <w:rPr>
          <w:rFonts w:ascii="Arial" w:hAnsi="Arial" w:cs="Arial"/>
          <w:iCs/>
          <w:color w:val="000000"/>
        </w:rPr>
        <w:t xml:space="preserve"> VAT)</w:t>
      </w:r>
      <w:r w:rsidR="000225EB">
        <w:rPr>
          <w:rFonts w:ascii="Arial" w:hAnsi="Arial" w:cs="Arial"/>
          <w:iCs/>
          <w:color w:val="000000"/>
        </w:rPr>
        <w:t xml:space="preserve"> and work should be completed by the end of </w:t>
      </w:r>
      <w:r w:rsidR="00D45E83">
        <w:rPr>
          <w:rFonts w:ascii="Arial" w:hAnsi="Arial" w:cs="Arial"/>
          <w:iCs/>
          <w:color w:val="000000"/>
        </w:rPr>
        <w:t>June</w:t>
      </w:r>
      <w:r w:rsidR="000225EB">
        <w:rPr>
          <w:rFonts w:ascii="Arial" w:hAnsi="Arial" w:cs="Arial"/>
          <w:iCs/>
          <w:color w:val="000000"/>
        </w:rPr>
        <w:t xml:space="preserve"> 2022</w:t>
      </w:r>
      <w:r w:rsidR="0006252B">
        <w:rPr>
          <w:rFonts w:ascii="Arial" w:hAnsi="Arial" w:cs="Arial"/>
          <w:iCs/>
          <w:color w:val="000000"/>
        </w:rPr>
        <w:t>.</w:t>
      </w:r>
    </w:p>
    <w:p w14:paraId="5B69490D" w14:textId="64CE6AA3" w:rsidR="006C31AF" w:rsidRPr="006C31AF" w:rsidRDefault="006C31AF" w:rsidP="00164CAB">
      <w:pPr>
        <w:shd w:val="clear" w:color="auto" w:fill="FFFFFF"/>
        <w:spacing w:before="100" w:beforeAutospacing="1" w:after="100" w:afterAutospacing="1" w:line="240" w:lineRule="auto"/>
        <w:ind w:right="95"/>
        <w:rPr>
          <w:rFonts w:ascii="Arial" w:eastAsia="Times New Roman" w:hAnsi="Arial" w:cs="Arial"/>
          <w:lang w:eastAsia="en-GB"/>
        </w:rPr>
      </w:pPr>
      <w:r w:rsidRPr="006C31AF">
        <w:rPr>
          <w:rFonts w:ascii="Arial" w:hAnsi="Arial" w:cs="Arial"/>
          <w:iCs/>
          <w:color w:val="000000"/>
        </w:rPr>
        <w:t>1.5</w:t>
      </w:r>
      <w:r w:rsidRPr="006C31AF">
        <w:rPr>
          <w:rFonts w:ascii="Arial" w:hAnsi="Arial" w:cs="Arial"/>
          <w:iCs/>
          <w:color w:val="000000"/>
        </w:rPr>
        <w:tab/>
        <w:t>All bids should be submitted to Emma Marshall, Head of Analysis and Research</w:t>
      </w:r>
      <w:r>
        <w:rPr>
          <w:rFonts w:ascii="Arial" w:hAnsi="Arial" w:cs="Arial"/>
          <w:iCs/>
          <w:color w:val="000000"/>
        </w:rPr>
        <w:t xml:space="preserve"> (emma.marshall@sentencingcouncil.gov.uk)</w:t>
      </w:r>
      <w:r w:rsidR="007B5A4C">
        <w:rPr>
          <w:rFonts w:ascii="Arial" w:hAnsi="Arial" w:cs="Arial"/>
          <w:iCs/>
          <w:color w:val="000000"/>
        </w:rPr>
        <w:t>,</w:t>
      </w:r>
      <w:bookmarkStart w:id="0" w:name="_GoBack"/>
      <w:bookmarkEnd w:id="0"/>
      <w:r w:rsidRPr="006C31AF">
        <w:rPr>
          <w:rFonts w:ascii="Arial" w:hAnsi="Arial" w:cs="Arial"/>
          <w:iCs/>
          <w:color w:val="000000"/>
        </w:rPr>
        <w:t xml:space="preserve"> by noon 7</w:t>
      </w:r>
      <w:r w:rsidRPr="006C31AF">
        <w:rPr>
          <w:rFonts w:ascii="Arial" w:hAnsi="Arial" w:cs="Arial"/>
          <w:iCs/>
          <w:color w:val="000000"/>
          <w:vertAlign w:val="superscript"/>
        </w:rPr>
        <w:t>th</w:t>
      </w:r>
      <w:r w:rsidRPr="006C31AF">
        <w:rPr>
          <w:rFonts w:ascii="Arial" w:hAnsi="Arial" w:cs="Arial"/>
          <w:iCs/>
          <w:color w:val="000000"/>
        </w:rPr>
        <w:t xml:space="preserve"> February 2022.</w:t>
      </w:r>
    </w:p>
    <w:p w14:paraId="1B042143" w14:textId="3CDF21DD" w:rsidR="004106ED" w:rsidRPr="00516499" w:rsidRDefault="003771E6" w:rsidP="00164CAB">
      <w:pPr>
        <w:shd w:val="clear" w:color="auto" w:fill="FFFFFF"/>
        <w:spacing w:before="100" w:beforeAutospacing="1" w:after="100" w:afterAutospacing="1" w:line="240" w:lineRule="auto"/>
        <w:ind w:right="95"/>
        <w:rPr>
          <w:rFonts w:ascii="Arial" w:hAnsi="Arial" w:cs="Arial"/>
          <w:b/>
          <w:bCs/>
        </w:rPr>
      </w:pPr>
      <w:r>
        <w:rPr>
          <w:rFonts w:ascii="Arial" w:hAnsi="Arial" w:cs="Arial"/>
          <w:b/>
          <w:bCs/>
        </w:rPr>
        <w:t xml:space="preserve">2. </w:t>
      </w:r>
      <w:r w:rsidR="00D440A6" w:rsidRPr="00516499">
        <w:rPr>
          <w:rFonts w:ascii="Arial" w:hAnsi="Arial" w:cs="Arial"/>
          <w:b/>
          <w:bCs/>
        </w:rPr>
        <w:t>Scope</w:t>
      </w:r>
    </w:p>
    <w:p w14:paraId="65BB5C0D" w14:textId="70F07B30" w:rsidR="00D16BDD" w:rsidRPr="00DC0490" w:rsidRDefault="003771E6" w:rsidP="00164CAB">
      <w:pPr>
        <w:shd w:val="clear" w:color="auto" w:fill="FFFFFF"/>
        <w:spacing w:before="100" w:beforeAutospacing="1" w:after="100" w:afterAutospacing="1" w:line="240" w:lineRule="auto"/>
        <w:ind w:right="95"/>
        <w:rPr>
          <w:rFonts w:ascii="Arial" w:hAnsi="Arial" w:cs="Arial"/>
        </w:rPr>
      </w:pPr>
      <w:r>
        <w:rPr>
          <w:rFonts w:ascii="Arial" w:hAnsi="Arial" w:cs="Arial"/>
          <w:shd w:val="clear" w:color="auto" w:fill="FFFFFF"/>
        </w:rPr>
        <w:t>2.1</w:t>
      </w:r>
      <w:r>
        <w:rPr>
          <w:rFonts w:ascii="Arial" w:hAnsi="Arial" w:cs="Arial"/>
          <w:shd w:val="clear" w:color="auto" w:fill="FFFFFF"/>
        </w:rPr>
        <w:tab/>
      </w:r>
      <w:r w:rsidR="00D16BDD" w:rsidRPr="00DC0490">
        <w:rPr>
          <w:rFonts w:ascii="Arial" w:hAnsi="Arial" w:cs="Arial"/>
          <w:shd w:val="clear" w:color="auto" w:fill="FFFFFF"/>
        </w:rPr>
        <w:t>There are </w:t>
      </w:r>
      <w:r w:rsidR="00D16BDD" w:rsidRPr="00555938">
        <w:rPr>
          <w:rStyle w:val="Strong"/>
          <w:rFonts w:ascii="Arial" w:hAnsi="Arial" w:cs="Arial"/>
          <w:b w:val="0"/>
          <w:bCs w:val="0"/>
          <w:shd w:val="clear" w:color="auto" w:fill="FFFFFF"/>
        </w:rPr>
        <w:t>five purposes of sentencing</w:t>
      </w:r>
      <w:r w:rsidR="00D16BDD" w:rsidRPr="00DC0490">
        <w:rPr>
          <w:rFonts w:ascii="Arial" w:hAnsi="Arial" w:cs="Arial"/>
          <w:shd w:val="clear" w:color="auto" w:fill="FFFFFF"/>
        </w:rPr>
        <w:t> the courts must bear in mind when dealing with the vast majority of adult offenders. These purposes are set out in s.57 of the </w:t>
      </w:r>
      <w:hyperlink r:id="rId12" w:tgtFrame="_blank" w:history="1">
        <w:r w:rsidR="00D16BDD" w:rsidRPr="00555938">
          <w:rPr>
            <w:rStyle w:val="Hyperlink"/>
            <w:rFonts w:ascii="Arial" w:hAnsi="Arial" w:cs="Arial"/>
            <w:color w:val="auto"/>
            <w:u w:val="none"/>
            <w:shd w:val="clear" w:color="auto" w:fill="FFFFFF"/>
          </w:rPr>
          <w:t>Sentencing Code</w:t>
        </w:r>
      </w:hyperlink>
      <w:r w:rsidR="00B55B20">
        <w:rPr>
          <w:rStyle w:val="Hyperlink"/>
          <w:rFonts w:ascii="Arial" w:hAnsi="Arial" w:cs="Arial"/>
          <w:color w:val="auto"/>
          <w:u w:val="none"/>
          <w:shd w:val="clear" w:color="auto" w:fill="FFFFFF"/>
        </w:rPr>
        <w:t>:</w:t>
      </w:r>
    </w:p>
    <w:p w14:paraId="74B7F083" w14:textId="43B083C1" w:rsidR="000559F1" w:rsidRPr="00111278" w:rsidRDefault="000559F1" w:rsidP="00164CAB">
      <w:pPr>
        <w:pStyle w:val="ListParagraph"/>
        <w:numPr>
          <w:ilvl w:val="0"/>
          <w:numId w:val="14"/>
        </w:numPr>
        <w:shd w:val="clear" w:color="auto" w:fill="FFFFFF"/>
        <w:spacing w:before="100" w:beforeAutospacing="1" w:after="100" w:afterAutospacing="1" w:line="240" w:lineRule="auto"/>
        <w:ind w:right="95"/>
        <w:rPr>
          <w:rFonts w:ascii="Arial" w:hAnsi="Arial" w:cs="Arial"/>
        </w:rPr>
      </w:pPr>
      <w:r w:rsidRPr="00111278">
        <w:rPr>
          <w:rFonts w:ascii="Arial" w:hAnsi="Arial" w:cs="Arial"/>
        </w:rPr>
        <w:lastRenderedPageBreak/>
        <w:t>To punish the offender – this can include going to prison, doing unpaid work in the community, obeying a curfew or paying a fine.</w:t>
      </w:r>
    </w:p>
    <w:p w14:paraId="4F92C4E7" w14:textId="77777777" w:rsidR="000559F1" w:rsidRPr="00111278" w:rsidRDefault="000559F1" w:rsidP="00164CAB">
      <w:pPr>
        <w:pStyle w:val="ListParagraph"/>
        <w:numPr>
          <w:ilvl w:val="0"/>
          <w:numId w:val="14"/>
        </w:numPr>
        <w:shd w:val="clear" w:color="auto" w:fill="FFFFFF"/>
        <w:spacing w:before="100" w:beforeAutospacing="1" w:after="100" w:afterAutospacing="1" w:line="240" w:lineRule="auto"/>
        <w:ind w:right="95"/>
        <w:rPr>
          <w:rFonts w:ascii="Arial" w:hAnsi="Arial" w:cs="Arial"/>
        </w:rPr>
      </w:pPr>
      <w:r w:rsidRPr="00111278">
        <w:rPr>
          <w:rFonts w:ascii="Arial" w:hAnsi="Arial" w:cs="Arial"/>
        </w:rPr>
        <w:t>To reduce crime – by preventing the offender from committing more crime, and putting others off from committing similar offences.</w:t>
      </w:r>
    </w:p>
    <w:p w14:paraId="4C98C0BD" w14:textId="77777777" w:rsidR="000559F1" w:rsidRPr="00111278" w:rsidRDefault="000559F1" w:rsidP="00164CAB">
      <w:pPr>
        <w:pStyle w:val="ListParagraph"/>
        <w:numPr>
          <w:ilvl w:val="0"/>
          <w:numId w:val="14"/>
        </w:numPr>
        <w:shd w:val="clear" w:color="auto" w:fill="FFFFFF"/>
        <w:spacing w:before="100" w:beforeAutospacing="1" w:after="100" w:afterAutospacing="1" w:line="240" w:lineRule="auto"/>
        <w:ind w:right="95"/>
        <w:rPr>
          <w:rFonts w:ascii="Arial" w:hAnsi="Arial" w:cs="Arial"/>
        </w:rPr>
      </w:pPr>
      <w:r w:rsidRPr="00111278">
        <w:rPr>
          <w:rFonts w:ascii="Arial" w:hAnsi="Arial" w:cs="Arial"/>
        </w:rPr>
        <w:t>To reform and rehabilitate offenders – changing an offender’s behaviour to prevent future crime, for example by requiring them to have treatment for drug addiction or alcohol abuse.</w:t>
      </w:r>
    </w:p>
    <w:p w14:paraId="1B26DEF1" w14:textId="77777777" w:rsidR="000559F1" w:rsidRPr="00111278" w:rsidRDefault="000559F1" w:rsidP="00164CAB">
      <w:pPr>
        <w:pStyle w:val="ListParagraph"/>
        <w:numPr>
          <w:ilvl w:val="0"/>
          <w:numId w:val="14"/>
        </w:numPr>
        <w:shd w:val="clear" w:color="auto" w:fill="FFFFFF"/>
        <w:spacing w:before="100" w:beforeAutospacing="1" w:after="100" w:afterAutospacing="1" w:line="240" w:lineRule="auto"/>
        <w:ind w:right="95"/>
        <w:rPr>
          <w:rFonts w:ascii="Arial" w:hAnsi="Arial" w:cs="Arial"/>
        </w:rPr>
      </w:pPr>
      <w:r w:rsidRPr="00111278">
        <w:rPr>
          <w:rFonts w:ascii="Arial" w:hAnsi="Arial" w:cs="Arial"/>
        </w:rPr>
        <w:t>To protect the public – from the offender and from the risk of more crimes being committed by them. This could be by putting them in prison, restricting their activities or supervision by probation.</w:t>
      </w:r>
    </w:p>
    <w:p w14:paraId="3D437395" w14:textId="77777777" w:rsidR="000559F1" w:rsidRPr="00111278" w:rsidRDefault="000559F1" w:rsidP="00164CAB">
      <w:pPr>
        <w:pStyle w:val="ListParagraph"/>
        <w:numPr>
          <w:ilvl w:val="0"/>
          <w:numId w:val="14"/>
        </w:numPr>
        <w:shd w:val="clear" w:color="auto" w:fill="FFFFFF"/>
        <w:spacing w:before="100" w:beforeAutospacing="1" w:after="100" w:afterAutospacing="1" w:line="240" w:lineRule="auto"/>
        <w:ind w:right="95"/>
        <w:rPr>
          <w:rFonts w:ascii="Arial" w:hAnsi="Arial" w:cs="Arial"/>
        </w:rPr>
      </w:pPr>
      <w:r w:rsidRPr="00111278">
        <w:rPr>
          <w:rFonts w:ascii="Arial" w:hAnsi="Arial" w:cs="Arial"/>
        </w:rPr>
        <w:t>To make the offender give something back – for example, by the payment of compensation or through </w:t>
      </w:r>
      <w:hyperlink r:id="rId13" w:tgtFrame="_blank" w:history="1">
        <w:r w:rsidRPr="00111278">
          <w:rPr>
            <w:rFonts w:ascii="Arial" w:hAnsi="Arial" w:cs="Arial"/>
          </w:rPr>
          <w:t>restorative justice</w:t>
        </w:r>
      </w:hyperlink>
      <w:r w:rsidRPr="00111278">
        <w:rPr>
          <w:rFonts w:ascii="Arial" w:hAnsi="Arial" w:cs="Arial"/>
        </w:rPr>
        <w:t>. Restorative justice gives victims the chance to tell offenders about the impact of their crime and receive an apology.</w:t>
      </w:r>
    </w:p>
    <w:p w14:paraId="0E23EE68" w14:textId="57034D52" w:rsidR="00E25B03" w:rsidRPr="00516499" w:rsidRDefault="003771E6" w:rsidP="00164CAB">
      <w:pPr>
        <w:spacing w:before="100" w:beforeAutospacing="1" w:after="100" w:afterAutospacing="1" w:line="240" w:lineRule="auto"/>
        <w:ind w:right="95"/>
        <w:rPr>
          <w:rFonts w:ascii="Arial" w:hAnsi="Arial" w:cs="Arial"/>
        </w:rPr>
      </w:pPr>
      <w:r>
        <w:rPr>
          <w:rFonts w:ascii="Arial" w:hAnsi="Arial" w:cs="Arial"/>
        </w:rPr>
        <w:t>2.2</w:t>
      </w:r>
      <w:r>
        <w:rPr>
          <w:rFonts w:ascii="Arial" w:hAnsi="Arial" w:cs="Arial"/>
        </w:rPr>
        <w:tab/>
      </w:r>
      <w:r w:rsidR="009066DF" w:rsidRPr="00516499">
        <w:rPr>
          <w:rFonts w:ascii="Arial" w:hAnsi="Arial" w:cs="Arial"/>
        </w:rPr>
        <w:t>‘Effectiveness’ of sentencing can</w:t>
      </w:r>
      <w:r w:rsidR="008501EE" w:rsidRPr="00516499">
        <w:rPr>
          <w:rFonts w:ascii="Arial" w:hAnsi="Arial" w:cs="Arial"/>
        </w:rPr>
        <w:t xml:space="preserve"> </w:t>
      </w:r>
      <w:r w:rsidR="009066DF" w:rsidRPr="00516499">
        <w:rPr>
          <w:rFonts w:ascii="Arial" w:hAnsi="Arial" w:cs="Arial"/>
        </w:rPr>
        <w:t xml:space="preserve">be considered broadly </w:t>
      </w:r>
      <w:r w:rsidR="006D55B8" w:rsidRPr="00516499">
        <w:rPr>
          <w:rFonts w:ascii="Arial" w:hAnsi="Arial" w:cs="Arial"/>
        </w:rPr>
        <w:t xml:space="preserve">and in relation to a number of purposes.  </w:t>
      </w:r>
      <w:r w:rsidR="00626BD9" w:rsidRPr="00516499">
        <w:rPr>
          <w:rFonts w:ascii="Arial" w:hAnsi="Arial" w:cs="Arial"/>
        </w:rPr>
        <w:t xml:space="preserve">Although </w:t>
      </w:r>
      <w:r w:rsidR="009066DF" w:rsidRPr="00516499">
        <w:rPr>
          <w:rFonts w:ascii="Arial" w:hAnsi="Arial" w:cs="Arial"/>
        </w:rPr>
        <w:t xml:space="preserve">the statute gives particular weight </w:t>
      </w:r>
      <w:r w:rsidR="006D55B8" w:rsidRPr="00516499">
        <w:rPr>
          <w:rFonts w:ascii="Arial" w:hAnsi="Arial" w:cs="Arial"/>
        </w:rPr>
        <w:t xml:space="preserve">to </w:t>
      </w:r>
      <w:r w:rsidR="003273A2" w:rsidRPr="00516499">
        <w:rPr>
          <w:rFonts w:ascii="Arial" w:hAnsi="Arial" w:cs="Arial"/>
        </w:rPr>
        <w:t xml:space="preserve">the need for the Council to have regard to </w:t>
      </w:r>
      <w:r w:rsidR="00B55B20">
        <w:rPr>
          <w:rFonts w:ascii="Arial" w:hAnsi="Arial" w:cs="Arial"/>
        </w:rPr>
        <w:t xml:space="preserve">the </w:t>
      </w:r>
      <w:r w:rsidR="006D55B8" w:rsidRPr="00516499">
        <w:rPr>
          <w:rFonts w:ascii="Arial" w:hAnsi="Arial" w:cs="Arial"/>
        </w:rPr>
        <w:t xml:space="preserve">effectiveness of sentences in preventing </w:t>
      </w:r>
      <w:r w:rsidR="00642FCD" w:rsidRPr="00516499">
        <w:rPr>
          <w:rFonts w:ascii="Arial" w:hAnsi="Arial" w:cs="Arial"/>
        </w:rPr>
        <w:t>reoffending</w:t>
      </w:r>
      <w:r w:rsidR="00742498" w:rsidRPr="00516499">
        <w:rPr>
          <w:rFonts w:ascii="Arial" w:hAnsi="Arial" w:cs="Arial"/>
        </w:rPr>
        <w:t xml:space="preserve">, </w:t>
      </w:r>
      <w:r w:rsidR="00B079E3" w:rsidRPr="00516499">
        <w:rPr>
          <w:rFonts w:ascii="Arial" w:hAnsi="Arial" w:cs="Arial"/>
        </w:rPr>
        <w:t>we are also interested in synthes</w:t>
      </w:r>
      <w:r w:rsidR="000C443F" w:rsidRPr="00516499">
        <w:rPr>
          <w:rFonts w:ascii="Arial" w:hAnsi="Arial" w:cs="Arial"/>
        </w:rPr>
        <w:t>is</w:t>
      </w:r>
      <w:r w:rsidR="00B079E3" w:rsidRPr="00516499">
        <w:rPr>
          <w:rFonts w:ascii="Arial" w:hAnsi="Arial" w:cs="Arial"/>
        </w:rPr>
        <w:t xml:space="preserve">ing </w:t>
      </w:r>
      <w:r w:rsidR="00742498" w:rsidRPr="00516499">
        <w:rPr>
          <w:rFonts w:ascii="Arial" w:hAnsi="Arial" w:cs="Arial"/>
        </w:rPr>
        <w:t xml:space="preserve">available </w:t>
      </w:r>
      <w:r w:rsidR="000C443F" w:rsidRPr="00516499">
        <w:rPr>
          <w:rFonts w:ascii="Arial" w:hAnsi="Arial" w:cs="Arial"/>
        </w:rPr>
        <w:t xml:space="preserve">evidence </w:t>
      </w:r>
      <w:r w:rsidR="00742498" w:rsidRPr="00516499">
        <w:rPr>
          <w:rFonts w:ascii="Arial" w:hAnsi="Arial" w:cs="Arial"/>
        </w:rPr>
        <w:t>on</w:t>
      </w:r>
      <w:r w:rsidR="00EF5C88" w:rsidRPr="00516499">
        <w:rPr>
          <w:rFonts w:ascii="Arial" w:hAnsi="Arial" w:cs="Arial"/>
        </w:rPr>
        <w:t xml:space="preserve"> overlapping</w:t>
      </w:r>
      <w:r w:rsidR="00E25B03">
        <w:rPr>
          <w:rFonts w:ascii="Arial" w:hAnsi="Arial" w:cs="Arial"/>
        </w:rPr>
        <w:t xml:space="preserve"> and related</w:t>
      </w:r>
      <w:r w:rsidR="00EF5C88" w:rsidRPr="00516499">
        <w:rPr>
          <w:rFonts w:ascii="Arial" w:hAnsi="Arial" w:cs="Arial"/>
        </w:rPr>
        <w:t xml:space="preserve"> area</w:t>
      </w:r>
      <w:r w:rsidR="003273A2" w:rsidRPr="00516499">
        <w:rPr>
          <w:rFonts w:ascii="Arial" w:hAnsi="Arial" w:cs="Arial"/>
        </w:rPr>
        <w:t>s</w:t>
      </w:r>
      <w:r w:rsidR="00EF5C88" w:rsidRPr="00516499">
        <w:rPr>
          <w:rFonts w:ascii="Arial" w:hAnsi="Arial" w:cs="Arial"/>
        </w:rPr>
        <w:t>:</w:t>
      </w:r>
      <w:r w:rsidR="00626BD9" w:rsidRPr="00516499">
        <w:rPr>
          <w:rFonts w:ascii="Arial" w:hAnsi="Arial" w:cs="Arial"/>
        </w:rPr>
        <w:t xml:space="preserve"> </w:t>
      </w:r>
      <w:r w:rsidR="00E25B03">
        <w:rPr>
          <w:rFonts w:ascii="Arial" w:hAnsi="Arial" w:cs="Arial"/>
        </w:rPr>
        <w:t xml:space="preserve">for example on </w:t>
      </w:r>
      <w:r w:rsidR="00262B05" w:rsidRPr="00516499">
        <w:rPr>
          <w:rFonts w:ascii="Arial" w:hAnsi="Arial" w:cs="Arial"/>
        </w:rPr>
        <w:t>the impact of sentencing on</w:t>
      </w:r>
      <w:r w:rsidR="00742498" w:rsidRPr="00516499">
        <w:rPr>
          <w:rFonts w:ascii="Arial" w:hAnsi="Arial" w:cs="Arial"/>
        </w:rPr>
        <w:t xml:space="preserve"> long-term desistance </w:t>
      </w:r>
      <w:r w:rsidR="00262B05" w:rsidRPr="00516499">
        <w:rPr>
          <w:rFonts w:ascii="Arial" w:hAnsi="Arial" w:cs="Arial"/>
        </w:rPr>
        <w:t xml:space="preserve">from </w:t>
      </w:r>
      <w:r w:rsidR="00742498" w:rsidRPr="00516499">
        <w:rPr>
          <w:rFonts w:ascii="Arial" w:hAnsi="Arial" w:cs="Arial"/>
        </w:rPr>
        <w:t xml:space="preserve">offending, </w:t>
      </w:r>
      <w:r w:rsidR="00262B05" w:rsidRPr="00516499">
        <w:rPr>
          <w:rFonts w:ascii="Arial" w:hAnsi="Arial" w:cs="Arial"/>
        </w:rPr>
        <w:t xml:space="preserve">on </w:t>
      </w:r>
      <w:r w:rsidR="00B55B20">
        <w:rPr>
          <w:rFonts w:ascii="Arial" w:hAnsi="Arial" w:cs="Arial"/>
        </w:rPr>
        <w:t>deterrence</w:t>
      </w:r>
      <w:r w:rsidR="00237AAE" w:rsidRPr="00516499">
        <w:rPr>
          <w:rFonts w:ascii="Arial" w:hAnsi="Arial" w:cs="Arial"/>
        </w:rPr>
        <w:t xml:space="preserve">, as well as on </w:t>
      </w:r>
      <w:r w:rsidR="00742498" w:rsidRPr="00516499">
        <w:rPr>
          <w:rFonts w:ascii="Arial" w:hAnsi="Arial" w:cs="Arial"/>
        </w:rPr>
        <w:t>the cost</w:t>
      </w:r>
      <w:r w:rsidR="00EF5C88" w:rsidRPr="00516499">
        <w:rPr>
          <w:rFonts w:ascii="Arial" w:hAnsi="Arial" w:cs="Arial"/>
        </w:rPr>
        <w:t>-effectiveness</w:t>
      </w:r>
      <w:r w:rsidR="00742498" w:rsidRPr="00516499">
        <w:rPr>
          <w:rFonts w:ascii="Arial" w:hAnsi="Arial" w:cs="Arial"/>
        </w:rPr>
        <w:t xml:space="preserve"> of different sentences.</w:t>
      </w:r>
      <w:r w:rsidR="00103E9B" w:rsidRPr="00516499">
        <w:rPr>
          <w:rFonts w:ascii="Arial" w:hAnsi="Arial" w:cs="Arial"/>
        </w:rPr>
        <w:t xml:space="preserve"> </w:t>
      </w:r>
    </w:p>
    <w:p w14:paraId="47BF6A48" w14:textId="4E37B20A" w:rsidR="000559F1" w:rsidRPr="00516499" w:rsidRDefault="003771E6" w:rsidP="00164CAB">
      <w:pPr>
        <w:shd w:val="clear" w:color="auto" w:fill="FFFFFF"/>
        <w:spacing w:before="100" w:beforeAutospacing="1" w:after="100" w:afterAutospacing="1" w:line="240" w:lineRule="auto"/>
        <w:ind w:right="95"/>
        <w:rPr>
          <w:rFonts w:ascii="Arial" w:hAnsi="Arial" w:cs="Arial"/>
        </w:rPr>
      </w:pPr>
      <w:r>
        <w:rPr>
          <w:rFonts w:ascii="Arial" w:hAnsi="Arial" w:cs="Arial"/>
        </w:rPr>
        <w:t>2.3</w:t>
      </w:r>
      <w:r>
        <w:rPr>
          <w:rFonts w:ascii="Arial" w:hAnsi="Arial" w:cs="Arial"/>
        </w:rPr>
        <w:tab/>
      </w:r>
      <w:r w:rsidR="008501EE" w:rsidRPr="00516499">
        <w:rPr>
          <w:rFonts w:ascii="Arial" w:hAnsi="Arial" w:cs="Arial"/>
        </w:rPr>
        <w:t xml:space="preserve">The review should therefore </w:t>
      </w:r>
      <w:r w:rsidR="00C657D5" w:rsidRPr="00516499">
        <w:rPr>
          <w:rFonts w:ascii="Arial" w:hAnsi="Arial" w:cs="Arial"/>
        </w:rPr>
        <w:t>identify, collate and synthesise</w:t>
      </w:r>
      <w:r w:rsidR="008501EE" w:rsidRPr="00516499">
        <w:rPr>
          <w:rFonts w:ascii="Arial" w:hAnsi="Arial" w:cs="Arial"/>
        </w:rPr>
        <w:t xml:space="preserve"> research evidence in relation to </w:t>
      </w:r>
      <w:r w:rsidR="00237AAE" w:rsidRPr="00516499">
        <w:rPr>
          <w:rFonts w:ascii="Arial" w:hAnsi="Arial" w:cs="Arial"/>
        </w:rPr>
        <w:t>four</w:t>
      </w:r>
      <w:r w:rsidR="008501EE" w:rsidRPr="00516499">
        <w:rPr>
          <w:rFonts w:ascii="Arial" w:hAnsi="Arial" w:cs="Arial"/>
        </w:rPr>
        <w:t xml:space="preserve"> </w:t>
      </w:r>
      <w:r w:rsidR="00E25B03">
        <w:rPr>
          <w:rFonts w:ascii="Arial" w:hAnsi="Arial" w:cs="Arial"/>
        </w:rPr>
        <w:t>overlapping</w:t>
      </w:r>
      <w:r w:rsidR="008501EE" w:rsidRPr="00516499">
        <w:rPr>
          <w:rFonts w:ascii="Arial" w:hAnsi="Arial" w:cs="Arial"/>
        </w:rPr>
        <w:t xml:space="preserve"> areas:</w:t>
      </w:r>
    </w:p>
    <w:p w14:paraId="52D2B93C" w14:textId="296E868C" w:rsidR="0042314F" w:rsidRPr="00516499" w:rsidRDefault="0042314F" w:rsidP="00164CAB">
      <w:pPr>
        <w:pStyle w:val="ListParagraph"/>
        <w:numPr>
          <w:ilvl w:val="0"/>
          <w:numId w:val="15"/>
        </w:numPr>
        <w:shd w:val="clear" w:color="auto" w:fill="FFFFFF"/>
        <w:spacing w:before="100" w:beforeAutospacing="1" w:after="100" w:afterAutospacing="1" w:line="240" w:lineRule="auto"/>
        <w:ind w:right="95"/>
        <w:rPr>
          <w:rFonts w:ascii="Arial" w:hAnsi="Arial" w:cs="Arial"/>
        </w:rPr>
      </w:pPr>
      <w:r w:rsidRPr="00516499">
        <w:rPr>
          <w:rFonts w:ascii="Arial" w:hAnsi="Arial" w:cs="Arial"/>
        </w:rPr>
        <w:t xml:space="preserve">The </w:t>
      </w:r>
      <w:r w:rsidR="004E4E95" w:rsidRPr="00516499">
        <w:rPr>
          <w:rFonts w:ascii="Arial" w:hAnsi="Arial" w:cs="Arial"/>
        </w:rPr>
        <w:t>effe</w:t>
      </w:r>
      <w:r w:rsidRPr="00516499">
        <w:rPr>
          <w:rFonts w:ascii="Arial" w:hAnsi="Arial" w:cs="Arial"/>
        </w:rPr>
        <w:t>ctiveness of sentencing in preventing reoffending</w:t>
      </w:r>
      <w:r w:rsidR="00BE3B67" w:rsidRPr="00516499">
        <w:rPr>
          <w:rFonts w:ascii="Arial" w:hAnsi="Arial" w:cs="Arial"/>
        </w:rPr>
        <w:t>;</w:t>
      </w:r>
    </w:p>
    <w:p w14:paraId="12F0C62A" w14:textId="01BFB556" w:rsidR="004A6F9D" w:rsidRPr="00516499" w:rsidRDefault="00227DB8" w:rsidP="00164CAB">
      <w:pPr>
        <w:pStyle w:val="ListParagraph"/>
        <w:numPr>
          <w:ilvl w:val="0"/>
          <w:numId w:val="15"/>
        </w:numPr>
        <w:shd w:val="clear" w:color="auto" w:fill="FFFFFF"/>
        <w:spacing w:before="100" w:beforeAutospacing="1" w:after="100" w:afterAutospacing="1" w:line="240" w:lineRule="auto"/>
        <w:ind w:right="95"/>
        <w:rPr>
          <w:rFonts w:ascii="Arial" w:hAnsi="Arial" w:cs="Arial"/>
        </w:rPr>
      </w:pPr>
      <w:r w:rsidRPr="00516499">
        <w:rPr>
          <w:rFonts w:ascii="Arial" w:hAnsi="Arial" w:cs="Arial"/>
        </w:rPr>
        <w:t xml:space="preserve">Evidence </w:t>
      </w:r>
      <w:r w:rsidR="006816FC" w:rsidRPr="00516499">
        <w:rPr>
          <w:rFonts w:ascii="Arial" w:hAnsi="Arial" w:cs="Arial"/>
        </w:rPr>
        <w:t xml:space="preserve">on how </w:t>
      </w:r>
      <w:r w:rsidR="005E7C00" w:rsidRPr="00516499">
        <w:rPr>
          <w:rFonts w:ascii="Arial" w:hAnsi="Arial" w:cs="Arial"/>
        </w:rPr>
        <w:t>sentencing m</w:t>
      </w:r>
      <w:r w:rsidR="006816FC" w:rsidRPr="00516499">
        <w:rPr>
          <w:rFonts w:ascii="Arial" w:hAnsi="Arial" w:cs="Arial"/>
        </w:rPr>
        <w:t>ight contribute to the process of desistance from long-term offending</w:t>
      </w:r>
      <w:r w:rsidR="00BE3B67" w:rsidRPr="00516499">
        <w:rPr>
          <w:rFonts w:ascii="Arial" w:hAnsi="Arial" w:cs="Arial"/>
        </w:rPr>
        <w:t>;</w:t>
      </w:r>
    </w:p>
    <w:p w14:paraId="404DD990" w14:textId="523E778F" w:rsidR="008501EE" w:rsidRPr="00516499" w:rsidRDefault="004A6F9D" w:rsidP="00164CAB">
      <w:pPr>
        <w:pStyle w:val="ListParagraph"/>
        <w:numPr>
          <w:ilvl w:val="0"/>
          <w:numId w:val="15"/>
        </w:numPr>
        <w:shd w:val="clear" w:color="auto" w:fill="FFFFFF"/>
        <w:spacing w:before="100" w:beforeAutospacing="1" w:after="100" w:afterAutospacing="1" w:line="240" w:lineRule="auto"/>
        <w:ind w:right="95"/>
        <w:rPr>
          <w:rFonts w:ascii="Arial" w:hAnsi="Arial" w:cs="Arial"/>
        </w:rPr>
      </w:pPr>
      <w:r w:rsidRPr="00516499">
        <w:rPr>
          <w:rFonts w:ascii="Arial" w:hAnsi="Arial" w:cs="Arial"/>
        </w:rPr>
        <w:t>Evidence on</w:t>
      </w:r>
      <w:r w:rsidR="005E7C00" w:rsidRPr="00516499">
        <w:rPr>
          <w:rFonts w:ascii="Arial" w:hAnsi="Arial" w:cs="Arial"/>
        </w:rPr>
        <w:t xml:space="preserve"> how</w:t>
      </w:r>
      <w:r w:rsidRPr="00516499">
        <w:rPr>
          <w:rFonts w:ascii="Arial" w:hAnsi="Arial" w:cs="Arial"/>
        </w:rPr>
        <w:t xml:space="preserve"> </w:t>
      </w:r>
      <w:r w:rsidR="007E2924" w:rsidRPr="00516499">
        <w:rPr>
          <w:rFonts w:ascii="Arial" w:hAnsi="Arial" w:cs="Arial"/>
        </w:rPr>
        <w:t>sentencing might impact o</w:t>
      </w:r>
      <w:r w:rsidR="005E7C00" w:rsidRPr="00516499">
        <w:rPr>
          <w:rFonts w:ascii="Arial" w:hAnsi="Arial" w:cs="Arial"/>
        </w:rPr>
        <w:t>n</w:t>
      </w:r>
      <w:r w:rsidR="007E2924" w:rsidRPr="00516499">
        <w:rPr>
          <w:rFonts w:ascii="Arial" w:hAnsi="Arial" w:cs="Arial"/>
        </w:rPr>
        <w:t xml:space="preserve"> the deterrence</w:t>
      </w:r>
      <w:r w:rsidR="00E25B03">
        <w:rPr>
          <w:rFonts w:ascii="Arial" w:hAnsi="Arial" w:cs="Arial"/>
        </w:rPr>
        <w:t xml:space="preserve"> </w:t>
      </w:r>
      <w:r w:rsidR="00E25B03" w:rsidRPr="00516499">
        <w:rPr>
          <w:rFonts w:ascii="Arial" w:hAnsi="Arial" w:cs="Arial"/>
        </w:rPr>
        <w:t>from future offending</w:t>
      </w:r>
      <w:r w:rsidR="00850018" w:rsidRPr="00516499">
        <w:rPr>
          <w:rFonts w:ascii="Arial" w:hAnsi="Arial" w:cs="Arial"/>
        </w:rPr>
        <w:t xml:space="preserve"> (</w:t>
      </w:r>
      <w:r w:rsidR="00F62513" w:rsidRPr="00516499">
        <w:rPr>
          <w:rFonts w:ascii="Arial" w:hAnsi="Arial" w:cs="Arial"/>
        </w:rPr>
        <w:t>both</w:t>
      </w:r>
      <w:r w:rsidR="00E25B03">
        <w:rPr>
          <w:rFonts w:ascii="Arial" w:hAnsi="Arial" w:cs="Arial"/>
        </w:rPr>
        <w:t xml:space="preserve"> in terms of the specific individual and the general public</w:t>
      </w:r>
      <w:r w:rsidR="00F62513" w:rsidRPr="00516499">
        <w:rPr>
          <w:rFonts w:ascii="Arial" w:hAnsi="Arial" w:cs="Arial"/>
        </w:rPr>
        <w:t>)</w:t>
      </w:r>
      <w:r w:rsidR="007E2924" w:rsidRPr="00516499">
        <w:rPr>
          <w:rFonts w:ascii="Arial" w:hAnsi="Arial" w:cs="Arial"/>
        </w:rPr>
        <w:t>;</w:t>
      </w:r>
      <w:r w:rsidR="00BE3B67" w:rsidRPr="00516499">
        <w:rPr>
          <w:rFonts w:ascii="Arial" w:hAnsi="Arial" w:cs="Arial"/>
        </w:rPr>
        <w:t xml:space="preserve"> and,</w:t>
      </w:r>
    </w:p>
    <w:p w14:paraId="3D5E1B33" w14:textId="2074FC67" w:rsidR="006816FC" w:rsidRPr="00516499" w:rsidRDefault="005C41CD" w:rsidP="00164CAB">
      <w:pPr>
        <w:pStyle w:val="ListParagraph"/>
        <w:numPr>
          <w:ilvl w:val="0"/>
          <w:numId w:val="15"/>
        </w:numPr>
        <w:shd w:val="clear" w:color="auto" w:fill="FFFFFF"/>
        <w:spacing w:before="100" w:beforeAutospacing="1" w:after="100" w:afterAutospacing="1" w:line="240" w:lineRule="auto"/>
        <w:ind w:right="95"/>
        <w:rPr>
          <w:rFonts w:ascii="Arial" w:hAnsi="Arial" w:cs="Arial"/>
        </w:rPr>
      </w:pPr>
      <w:r w:rsidRPr="00516499">
        <w:rPr>
          <w:rFonts w:ascii="Arial" w:hAnsi="Arial" w:cs="Arial"/>
        </w:rPr>
        <w:t>Any evidence on the cost-effectiv</w:t>
      </w:r>
      <w:r w:rsidR="004E4E95" w:rsidRPr="00516499">
        <w:rPr>
          <w:rFonts w:ascii="Arial" w:hAnsi="Arial" w:cs="Arial"/>
        </w:rPr>
        <w:t>e</w:t>
      </w:r>
      <w:r w:rsidRPr="00516499">
        <w:rPr>
          <w:rFonts w:ascii="Arial" w:hAnsi="Arial" w:cs="Arial"/>
        </w:rPr>
        <w:t xml:space="preserve">ness of different sentences </w:t>
      </w:r>
      <w:r w:rsidR="007E5841" w:rsidRPr="00516499">
        <w:rPr>
          <w:rFonts w:ascii="Arial" w:hAnsi="Arial" w:cs="Arial"/>
        </w:rPr>
        <w:t>in relation to thei</w:t>
      </w:r>
      <w:r w:rsidRPr="00516499">
        <w:rPr>
          <w:rFonts w:ascii="Arial" w:hAnsi="Arial" w:cs="Arial"/>
        </w:rPr>
        <w:t>r relative effectiveness in preventing reoffending.</w:t>
      </w:r>
    </w:p>
    <w:p w14:paraId="081CDFFE" w14:textId="3574F80A" w:rsidR="00D935BF" w:rsidRPr="00516499" w:rsidRDefault="003771E6" w:rsidP="00164CAB">
      <w:pPr>
        <w:spacing w:before="100" w:beforeAutospacing="1" w:after="100" w:afterAutospacing="1" w:line="240" w:lineRule="auto"/>
        <w:ind w:right="95"/>
        <w:rPr>
          <w:rFonts w:ascii="Arial" w:hAnsi="Arial" w:cs="Arial"/>
        </w:rPr>
      </w:pPr>
      <w:r>
        <w:rPr>
          <w:rFonts w:ascii="Arial" w:hAnsi="Arial" w:cs="Arial"/>
        </w:rPr>
        <w:t>2.4</w:t>
      </w:r>
      <w:r>
        <w:rPr>
          <w:rFonts w:ascii="Arial" w:hAnsi="Arial" w:cs="Arial"/>
        </w:rPr>
        <w:tab/>
      </w:r>
      <w:r w:rsidR="00C657D5" w:rsidRPr="00516499">
        <w:rPr>
          <w:rFonts w:ascii="Arial" w:hAnsi="Arial" w:cs="Arial"/>
        </w:rPr>
        <w:t xml:space="preserve">In synthesising evidence in the above areas, the review should also </w:t>
      </w:r>
      <w:r w:rsidR="005A4C04" w:rsidRPr="00516499">
        <w:rPr>
          <w:rFonts w:ascii="Arial" w:hAnsi="Arial" w:cs="Arial"/>
        </w:rPr>
        <w:t>provide an assessment of the quality</w:t>
      </w:r>
      <w:r w:rsidR="007A509D" w:rsidRPr="00516499">
        <w:rPr>
          <w:rFonts w:ascii="Arial" w:hAnsi="Arial" w:cs="Arial"/>
        </w:rPr>
        <w:t xml:space="preserve"> of the research</w:t>
      </w:r>
      <w:r w:rsidR="005A4C04" w:rsidRPr="00516499">
        <w:rPr>
          <w:rFonts w:ascii="Arial" w:hAnsi="Arial" w:cs="Arial"/>
        </w:rPr>
        <w:t xml:space="preserve"> </w:t>
      </w:r>
      <w:r w:rsidR="000338EF" w:rsidRPr="00516499">
        <w:rPr>
          <w:rFonts w:ascii="Arial" w:hAnsi="Arial" w:cs="Arial"/>
        </w:rPr>
        <w:t>to help inform the Council about the strength of evidence in a particular area</w:t>
      </w:r>
      <w:r w:rsidR="00D935BF" w:rsidRPr="00516499">
        <w:rPr>
          <w:rFonts w:ascii="Arial" w:hAnsi="Arial" w:cs="Arial"/>
        </w:rPr>
        <w:t xml:space="preserve"> (to include</w:t>
      </w:r>
      <w:r w:rsidR="00F63E50" w:rsidRPr="00516499">
        <w:rPr>
          <w:rFonts w:ascii="Arial" w:hAnsi="Arial" w:cs="Arial"/>
        </w:rPr>
        <w:t>, for example,</w:t>
      </w:r>
      <w:r w:rsidR="00D935BF" w:rsidRPr="00516499">
        <w:rPr>
          <w:rFonts w:ascii="Arial" w:hAnsi="Arial" w:cs="Arial"/>
        </w:rPr>
        <w:t xml:space="preserve"> </w:t>
      </w:r>
      <w:r w:rsidR="00835DEB" w:rsidRPr="00516499">
        <w:rPr>
          <w:rFonts w:ascii="Arial" w:hAnsi="Arial" w:cs="Arial"/>
        </w:rPr>
        <w:t xml:space="preserve">consideration of </w:t>
      </w:r>
      <w:r w:rsidR="00D935BF" w:rsidRPr="00516499">
        <w:rPr>
          <w:rFonts w:ascii="Arial" w:hAnsi="Arial" w:cs="Arial"/>
        </w:rPr>
        <w:t>the reliability</w:t>
      </w:r>
      <w:r w:rsidR="00835DEB" w:rsidRPr="00516499">
        <w:rPr>
          <w:rFonts w:ascii="Arial" w:hAnsi="Arial" w:cs="Arial"/>
        </w:rPr>
        <w:t xml:space="preserve"> and generalis</w:t>
      </w:r>
      <w:r w:rsidR="00F62513" w:rsidRPr="00516499">
        <w:rPr>
          <w:rFonts w:ascii="Arial" w:hAnsi="Arial" w:cs="Arial"/>
        </w:rPr>
        <w:t>a</w:t>
      </w:r>
      <w:r w:rsidR="00835DEB" w:rsidRPr="00516499">
        <w:rPr>
          <w:rFonts w:ascii="Arial" w:hAnsi="Arial" w:cs="Arial"/>
        </w:rPr>
        <w:t>bil</w:t>
      </w:r>
      <w:r w:rsidR="00EC7F19" w:rsidRPr="00516499">
        <w:rPr>
          <w:rFonts w:ascii="Arial" w:hAnsi="Arial" w:cs="Arial"/>
        </w:rPr>
        <w:t>i</w:t>
      </w:r>
      <w:r w:rsidR="00835DEB" w:rsidRPr="00516499">
        <w:rPr>
          <w:rFonts w:ascii="Arial" w:hAnsi="Arial" w:cs="Arial"/>
        </w:rPr>
        <w:t>ty</w:t>
      </w:r>
      <w:r w:rsidR="00D935BF" w:rsidRPr="00516499">
        <w:rPr>
          <w:rFonts w:ascii="Arial" w:hAnsi="Arial" w:cs="Arial"/>
        </w:rPr>
        <w:t xml:space="preserve"> of the </w:t>
      </w:r>
      <w:r w:rsidR="00835DEB" w:rsidRPr="00516499">
        <w:rPr>
          <w:rFonts w:ascii="Arial" w:hAnsi="Arial" w:cs="Arial"/>
        </w:rPr>
        <w:t xml:space="preserve">evidence, </w:t>
      </w:r>
      <w:r w:rsidR="00D935BF" w:rsidRPr="00516499">
        <w:rPr>
          <w:rFonts w:ascii="Arial" w:hAnsi="Arial" w:cs="Arial"/>
        </w:rPr>
        <w:t xml:space="preserve">sample sizes, </w:t>
      </w:r>
      <w:r w:rsidR="00835DEB" w:rsidRPr="00516499">
        <w:rPr>
          <w:rFonts w:ascii="Arial" w:hAnsi="Arial" w:cs="Arial"/>
        </w:rPr>
        <w:t xml:space="preserve">any </w:t>
      </w:r>
      <w:r w:rsidR="00D935BF" w:rsidRPr="00516499">
        <w:rPr>
          <w:rFonts w:ascii="Arial" w:hAnsi="Arial" w:cs="Arial"/>
        </w:rPr>
        <w:t>biases, methodolog</w:t>
      </w:r>
      <w:r w:rsidR="00835DEB" w:rsidRPr="00516499">
        <w:rPr>
          <w:rFonts w:ascii="Arial" w:hAnsi="Arial" w:cs="Arial"/>
        </w:rPr>
        <w:t>ical limitations etc).</w:t>
      </w:r>
    </w:p>
    <w:p w14:paraId="4E7FE021" w14:textId="181CEF48" w:rsidR="00D268E0" w:rsidRPr="00516499" w:rsidRDefault="00703F5F" w:rsidP="00164CAB">
      <w:pPr>
        <w:pStyle w:val="NumberedL2"/>
        <w:numPr>
          <w:ilvl w:val="0"/>
          <w:numId w:val="0"/>
        </w:numPr>
        <w:spacing w:before="100" w:beforeAutospacing="1" w:after="100" w:afterAutospacing="1" w:line="240" w:lineRule="auto"/>
        <w:ind w:right="95"/>
        <w:jc w:val="left"/>
        <w:rPr>
          <w:rFonts w:cs="Arial"/>
        </w:rPr>
      </w:pPr>
      <w:r>
        <w:rPr>
          <w:rFonts w:cs="Arial"/>
        </w:rPr>
        <w:t>2.5</w:t>
      </w:r>
      <w:r>
        <w:rPr>
          <w:rFonts w:cs="Arial"/>
        </w:rPr>
        <w:tab/>
      </w:r>
      <w:r w:rsidR="00754A44" w:rsidRPr="00516499">
        <w:rPr>
          <w:rFonts w:cs="Arial"/>
        </w:rPr>
        <w:t xml:space="preserve">The Council has committed to placing a consideration of </w:t>
      </w:r>
      <w:r w:rsidR="00CC1832" w:rsidRPr="00516499">
        <w:rPr>
          <w:rFonts w:cs="Arial"/>
        </w:rPr>
        <w:t xml:space="preserve">issues relating to </w:t>
      </w:r>
      <w:r w:rsidR="00754A44" w:rsidRPr="00516499">
        <w:rPr>
          <w:rFonts w:cs="Arial"/>
        </w:rPr>
        <w:t xml:space="preserve">equality and diversity at the heart of all its work and has dedicated a specific objective to this in its strategic plan. </w:t>
      </w:r>
      <w:r w:rsidR="001D171C" w:rsidRPr="00516499">
        <w:rPr>
          <w:rFonts w:cs="Arial"/>
        </w:rPr>
        <w:t>The review should also synthesise any relevant evidence on effectiveness of sentencing</w:t>
      </w:r>
      <w:r w:rsidR="00021061" w:rsidRPr="00516499">
        <w:rPr>
          <w:rFonts w:cs="Arial"/>
        </w:rPr>
        <w:t>, desistance</w:t>
      </w:r>
      <w:r w:rsidR="00FD2638" w:rsidRPr="00516499">
        <w:rPr>
          <w:rFonts w:cs="Arial"/>
        </w:rPr>
        <w:t>, deterr</w:t>
      </w:r>
      <w:r w:rsidR="00C4504F" w:rsidRPr="00516499">
        <w:rPr>
          <w:rFonts w:cs="Arial"/>
        </w:rPr>
        <w:t>e</w:t>
      </w:r>
      <w:r w:rsidR="00FD2638" w:rsidRPr="00516499">
        <w:rPr>
          <w:rFonts w:cs="Arial"/>
        </w:rPr>
        <w:t>nce</w:t>
      </w:r>
      <w:r w:rsidR="00021061" w:rsidRPr="00516499">
        <w:rPr>
          <w:rFonts w:cs="Arial"/>
        </w:rPr>
        <w:t xml:space="preserve"> and cost-effectiveness in relation to specific groups/ protected characteristics</w:t>
      </w:r>
      <w:r w:rsidR="00C4504F" w:rsidRPr="00516499">
        <w:rPr>
          <w:rFonts w:cs="Arial"/>
        </w:rPr>
        <w:t>, in particular in relation to the sex, age and ethnicity of offenders.</w:t>
      </w:r>
    </w:p>
    <w:p w14:paraId="14CC4C6B" w14:textId="1FE0D745" w:rsidR="00730EB3" w:rsidRDefault="00703F5F" w:rsidP="00164CAB">
      <w:pPr>
        <w:pStyle w:val="NumberedL2"/>
        <w:numPr>
          <w:ilvl w:val="0"/>
          <w:numId w:val="0"/>
        </w:numPr>
        <w:spacing w:before="100" w:beforeAutospacing="1" w:after="100" w:afterAutospacing="1" w:line="240" w:lineRule="auto"/>
        <w:ind w:right="95"/>
        <w:jc w:val="left"/>
        <w:rPr>
          <w:rFonts w:cs="Arial"/>
          <w:iCs/>
          <w:szCs w:val="22"/>
        </w:rPr>
      </w:pPr>
      <w:r>
        <w:rPr>
          <w:rFonts w:cs="Arial"/>
        </w:rPr>
        <w:t>2.6</w:t>
      </w:r>
      <w:r>
        <w:rPr>
          <w:rFonts w:cs="Arial"/>
        </w:rPr>
        <w:tab/>
      </w:r>
      <w:r w:rsidR="005C41CD" w:rsidRPr="00516499">
        <w:rPr>
          <w:rFonts w:cs="Arial"/>
        </w:rPr>
        <w:t>In some of these areas, the evidence may be relatively limited.</w:t>
      </w:r>
      <w:r w:rsidR="001D5E3A" w:rsidRPr="00516499">
        <w:rPr>
          <w:rFonts w:cs="Arial"/>
        </w:rPr>
        <w:t xml:space="preserve">  However, the Council will make its previous internal review available to the successful contractor.  In addition, </w:t>
      </w:r>
      <w:r w:rsidR="00730EB3" w:rsidRPr="00516499">
        <w:rPr>
          <w:rFonts w:cs="Arial"/>
        </w:rPr>
        <w:t>some relevant issues have also been covered in the recent Sentencing Academy publication</w:t>
      </w:r>
      <w:r w:rsidR="003E1823" w:rsidRPr="00516499">
        <w:rPr>
          <w:rFonts w:cs="Arial"/>
          <w:i/>
          <w:iCs/>
        </w:rPr>
        <w:t>:</w:t>
      </w:r>
      <w:r w:rsidR="00730EB3" w:rsidRPr="00516499">
        <w:rPr>
          <w:rFonts w:cs="Arial"/>
          <w:i/>
          <w:iCs/>
        </w:rPr>
        <w:t xml:space="preserve"> </w:t>
      </w:r>
      <w:r w:rsidR="00062042" w:rsidRPr="00516499">
        <w:rPr>
          <w:rFonts w:cs="Arial"/>
          <w:i/>
          <w:iCs/>
        </w:rPr>
        <w:t>‘</w:t>
      </w:r>
      <w:r w:rsidR="00730EB3" w:rsidRPr="00516499">
        <w:rPr>
          <w:rFonts w:cs="Arial"/>
          <w:i/>
          <w:iCs/>
          <w:szCs w:val="22"/>
        </w:rPr>
        <w:t>The Effectiveness of Sentencing Options</w:t>
      </w:r>
      <w:r w:rsidR="00062042" w:rsidRPr="00516499">
        <w:rPr>
          <w:rFonts w:cs="Arial"/>
          <w:iCs/>
          <w:szCs w:val="22"/>
        </w:rPr>
        <w:t>’</w:t>
      </w:r>
      <w:r w:rsidR="00730EB3" w:rsidRPr="00516499">
        <w:rPr>
          <w:rFonts w:cs="Arial"/>
          <w:iCs/>
          <w:szCs w:val="22"/>
        </w:rPr>
        <w:t xml:space="preserve"> (Hamilton,</w:t>
      </w:r>
      <w:r w:rsidR="00B55B20">
        <w:rPr>
          <w:rFonts w:cs="Arial"/>
          <w:iCs/>
          <w:szCs w:val="22"/>
        </w:rPr>
        <w:t xml:space="preserve"> M.</w:t>
      </w:r>
      <w:r w:rsidR="00730EB3" w:rsidRPr="00516499">
        <w:rPr>
          <w:rFonts w:cs="Arial"/>
          <w:iCs/>
          <w:szCs w:val="22"/>
        </w:rPr>
        <w:t xml:space="preserve"> 2021)</w:t>
      </w:r>
      <w:r w:rsidR="00730EB3" w:rsidRPr="00516499">
        <w:rPr>
          <w:rStyle w:val="FootnoteReference"/>
          <w:iCs/>
          <w:szCs w:val="22"/>
        </w:rPr>
        <w:footnoteReference w:id="2"/>
      </w:r>
      <w:r w:rsidR="003E1823" w:rsidRPr="00516499">
        <w:rPr>
          <w:rFonts w:cs="Arial"/>
          <w:iCs/>
          <w:szCs w:val="22"/>
        </w:rPr>
        <w:t xml:space="preserve"> and an earlier independent review of the Council: </w:t>
      </w:r>
      <w:r w:rsidR="00730EB3" w:rsidRPr="00516499">
        <w:rPr>
          <w:rFonts w:cs="Arial"/>
          <w:i/>
          <w:szCs w:val="22"/>
        </w:rPr>
        <w:t>The Sentencing Council in 2017</w:t>
      </w:r>
      <w:r w:rsidR="00197AAB" w:rsidRPr="00516499">
        <w:rPr>
          <w:rFonts w:cs="Arial"/>
          <w:i/>
          <w:szCs w:val="22"/>
        </w:rPr>
        <w:t>. A report on research to advise on how the Sentencing Council can best exercise its statutory functions</w:t>
      </w:r>
      <w:r w:rsidR="00FD6F14" w:rsidRPr="00516499">
        <w:rPr>
          <w:rFonts w:cs="Arial"/>
          <w:i/>
          <w:szCs w:val="22"/>
        </w:rPr>
        <w:t>’</w:t>
      </w:r>
      <w:r w:rsidR="00730EB3" w:rsidRPr="00516499">
        <w:rPr>
          <w:rFonts w:cs="Arial"/>
          <w:iCs/>
          <w:szCs w:val="22"/>
        </w:rPr>
        <w:t xml:space="preserve"> (Bottoms,</w:t>
      </w:r>
      <w:r w:rsidR="00B55B20">
        <w:rPr>
          <w:rFonts w:cs="Arial"/>
          <w:iCs/>
          <w:szCs w:val="22"/>
        </w:rPr>
        <w:t xml:space="preserve"> </w:t>
      </w:r>
      <w:r w:rsidR="00B55B20">
        <w:rPr>
          <w:rFonts w:cs="Arial"/>
          <w:iCs/>
          <w:szCs w:val="22"/>
        </w:rPr>
        <w:lastRenderedPageBreak/>
        <w:t>A.</w:t>
      </w:r>
      <w:r w:rsidR="00730EB3" w:rsidRPr="00516499">
        <w:rPr>
          <w:rFonts w:cs="Arial"/>
          <w:iCs/>
          <w:szCs w:val="22"/>
        </w:rPr>
        <w:t xml:space="preserve"> 2017)</w:t>
      </w:r>
      <w:r w:rsidR="00730EB3" w:rsidRPr="00516499">
        <w:rPr>
          <w:rStyle w:val="FootnoteReference"/>
          <w:iCs/>
          <w:szCs w:val="22"/>
        </w:rPr>
        <w:footnoteReference w:id="3"/>
      </w:r>
      <w:r w:rsidR="003E1823" w:rsidRPr="00516499">
        <w:rPr>
          <w:rFonts w:cs="Arial"/>
          <w:iCs/>
          <w:szCs w:val="22"/>
        </w:rPr>
        <w:t xml:space="preserve">.  Tenderers should therefore </w:t>
      </w:r>
      <w:r w:rsidR="00FA127F" w:rsidRPr="00516499">
        <w:rPr>
          <w:rFonts w:cs="Arial"/>
          <w:iCs/>
          <w:szCs w:val="22"/>
        </w:rPr>
        <w:t>refer to these for background information when considering this work.</w:t>
      </w:r>
    </w:p>
    <w:p w14:paraId="578996BE" w14:textId="01C08EFF" w:rsidR="005C41CD" w:rsidRDefault="00F02C6F" w:rsidP="00164CAB">
      <w:pPr>
        <w:shd w:val="clear" w:color="auto" w:fill="FFFFFF"/>
        <w:spacing w:before="100" w:beforeAutospacing="1" w:after="100" w:afterAutospacing="1" w:line="240" w:lineRule="auto"/>
        <w:ind w:right="95"/>
        <w:rPr>
          <w:rFonts w:ascii="Arial" w:hAnsi="Arial" w:cs="Arial"/>
          <w:b/>
          <w:bCs/>
        </w:rPr>
      </w:pPr>
      <w:r>
        <w:rPr>
          <w:rFonts w:ascii="Arial" w:hAnsi="Arial" w:cs="Arial"/>
          <w:b/>
          <w:bCs/>
        </w:rPr>
        <w:t>3. D</w:t>
      </w:r>
      <w:r w:rsidR="00FB597A" w:rsidRPr="002E32D2">
        <w:rPr>
          <w:rFonts w:ascii="Arial" w:hAnsi="Arial" w:cs="Arial"/>
          <w:b/>
          <w:bCs/>
        </w:rPr>
        <w:t>esign</w:t>
      </w:r>
    </w:p>
    <w:p w14:paraId="176419A1" w14:textId="65999EB4" w:rsidR="000338EF" w:rsidRDefault="000473C0" w:rsidP="00164CAB">
      <w:pPr>
        <w:shd w:val="clear" w:color="auto" w:fill="FFFFFF"/>
        <w:spacing w:before="100" w:beforeAutospacing="1" w:after="100" w:afterAutospacing="1" w:line="240" w:lineRule="auto"/>
        <w:ind w:right="95"/>
        <w:rPr>
          <w:rFonts w:ascii="Arial" w:hAnsi="Arial" w:cs="Arial"/>
        </w:rPr>
      </w:pPr>
      <w:r>
        <w:rPr>
          <w:rFonts w:ascii="Arial" w:hAnsi="Arial" w:cs="Arial"/>
        </w:rPr>
        <w:t>3.1</w:t>
      </w:r>
      <w:r>
        <w:rPr>
          <w:rFonts w:ascii="Arial" w:hAnsi="Arial" w:cs="Arial"/>
        </w:rPr>
        <w:tab/>
      </w:r>
      <w:r w:rsidR="00C3001E">
        <w:rPr>
          <w:rFonts w:ascii="Arial" w:hAnsi="Arial" w:cs="Arial"/>
        </w:rPr>
        <w:t xml:space="preserve">This work comprises a </w:t>
      </w:r>
      <w:r w:rsidR="007B7D63">
        <w:rPr>
          <w:rFonts w:ascii="Arial" w:hAnsi="Arial" w:cs="Arial"/>
        </w:rPr>
        <w:t>review of the existing evidence</w:t>
      </w:r>
      <w:r w:rsidR="00C3001E">
        <w:rPr>
          <w:rFonts w:ascii="Arial" w:hAnsi="Arial" w:cs="Arial"/>
        </w:rPr>
        <w:t xml:space="preserve"> in </w:t>
      </w:r>
      <w:r w:rsidR="00E0676B">
        <w:rPr>
          <w:rFonts w:ascii="Arial" w:hAnsi="Arial" w:cs="Arial"/>
        </w:rPr>
        <w:t>relation</w:t>
      </w:r>
      <w:r w:rsidR="00C3001E">
        <w:rPr>
          <w:rFonts w:ascii="Arial" w:hAnsi="Arial" w:cs="Arial"/>
        </w:rPr>
        <w:t xml:space="preserve"> to the area</w:t>
      </w:r>
      <w:r w:rsidR="007B7D63">
        <w:rPr>
          <w:rFonts w:ascii="Arial" w:hAnsi="Arial" w:cs="Arial"/>
        </w:rPr>
        <w:t>s</w:t>
      </w:r>
      <w:r w:rsidR="00C3001E">
        <w:rPr>
          <w:rFonts w:ascii="Arial" w:hAnsi="Arial" w:cs="Arial"/>
        </w:rPr>
        <w:t xml:space="preserve"> outlined in </w:t>
      </w:r>
      <w:r w:rsidR="007B7D63">
        <w:rPr>
          <w:rFonts w:ascii="Arial" w:hAnsi="Arial" w:cs="Arial"/>
        </w:rPr>
        <w:t>section</w:t>
      </w:r>
      <w:r w:rsidR="00793FA5">
        <w:rPr>
          <w:rFonts w:ascii="Arial" w:hAnsi="Arial" w:cs="Arial"/>
        </w:rPr>
        <w:t xml:space="preserve"> </w:t>
      </w:r>
      <w:r w:rsidR="00F02C6F">
        <w:rPr>
          <w:rFonts w:ascii="Arial" w:hAnsi="Arial" w:cs="Arial"/>
        </w:rPr>
        <w:t>2.3</w:t>
      </w:r>
      <w:r w:rsidR="00C3001E">
        <w:rPr>
          <w:rFonts w:ascii="Arial" w:hAnsi="Arial" w:cs="Arial"/>
        </w:rPr>
        <w:t xml:space="preserve"> above.  </w:t>
      </w:r>
      <w:r w:rsidR="0067597C">
        <w:rPr>
          <w:rFonts w:ascii="Arial" w:hAnsi="Arial" w:cs="Arial"/>
        </w:rPr>
        <w:t xml:space="preserve">Tenderers </w:t>
      </w:r>
      <w:r w:rsidR="00DC33DA">
        <w:rPr>
          <w:rFonts w:ascii="Arial" w:hAnsi="Arial" w:cs="Arial"/>
        </w:rPr>
        <w:t xml:space="preserve">are invited to propose </w:t>
      </w:r>
      <w:r w:rsidR="004B42F3">
        <w:rPr>
          <w:rFonts w:ascii="Arial" w:hAnsi="Arial" w:cs="Arial"/>
        </w:rPr>
        <w:t>an ap</w:t>
      </w:r>
      <w:r w:rsidR="00085A68">
        <w:rPr>
          <w:rFonts w:ascii="Arial" w:hAnsi="Arial" w:cs="Arial"/>
        </w:rPr>
        <w:t>propriate</w:t>
      </w:r>
      <w:r w:rsidR="004B42F3">
        <w:rPr>
          <w:rFonts w:ascii="Arial" w:hAnsi="Arial" w:cs="Arial"/>
        </w:rPr>
        <w:t xml:space="preserve"> </w:t>
      </w:r>
      <w:r w:rsidR="00E0676B">
        <w:rPr>
          <w:rFonts w:ascii="Arial" w:hAnsi="Arial" w:cs="Arial"/>
        </w:rPr>
        <w:t>design</w:t>
      </w:r>
      <w:r w:rsidR="004B42F3">
        <w:rPr>
          <w:rFonts w:ascii="Arial" w:hAnsi="Arial" w:cs="Arial"/>
        </w:rPr>
        <w:t xml:space="preserve"> to include </w:t>
      </w:r>
      <w:r w:rsidR="00E0676B">
        <w:rPr>
          <w:rFonts w:ascii="Arial" w:hAnsi="Arial" w:cs="Arial"/>
        </w:rPr>
        <w:t>recommendations</w:t>
      </w:r>
      <w:r w:rsidR="004B42F3">
        <w:rPr>
          <w:rFonts w:ascii="Arial" w:hAnsi="Arial" w:cs="Arial"/>
        </w:rPr>
        <w:t xml:space="preserve"> on:</w:t>
      </w:r>
    </w:p>
    <w:p w14:paraId="3DCCC8B7" w14:textId="761D55BF" w:rsidR="004B42F3" w:rsidRPr="00207CDA" w:rsidRDefault="004B42F3" w:rsidP="00164CAB">
      <w:pPr>
        <w:pStyle w:val="ListParagraph"/>
        <w:numPr>
          <w:ilvl w:val="0"/>
          <w:numId w:val="17"/>
        </w:numPr>
        <w:shd w:val="clear" w:color="auto" w:fill="FFFFFF"/>
        <w:spacing w:before="100" w:beforeAutospacing="1" w:after="100" w:afterAutospacing="1" w:line="240" w:lineRule="auto"/>
        <w:ind w:right="95"/>
        <w:rPr>
          <w:rFonts w:ascii="Arial" w:hAnsi="Arial" w:cs="Arial"/>
        </w:rPr>
      </w:pPr>
      <w:r w:rsidRPr="00207CDA">
        <w:rPr>
          <w:rFonts w:ascii="Arial" w:hAnsi="Arial" w:cs="Arial"/>
        </w:rPr>
        <w:t>The type of search terms that would be included</w:t>
      </w:r>
      <w:r w:rsidR="00D81F65" w:rsidRPr="00207CDA">
        <w:rPr>
          <w:rFonts w:ascii="Arial" w:hAnsi="Arial" w:cs="Arial"/>
        </w:rPr>
        <w:t>;</w:t>
      </w:r>
    </w:p>
    <w:p w14:paraId="799FE51D" w14:textId="2B2D8CDF" w:rsidR="009B3933" w:rsidRDefault="009B3933" w:rsidP="00164CAB">
      <w:pPr>
        <w:pStyle w:val="ListParagraph"/>
        <w:numPr>
          <w:ilvl w:val="0"/>
          <w:numId w:val="17"/>
        </w:numPr>
        <w:shd w:val="clear" w:color="auto" w:fill="FFFFFF"/>
        <w:spacing w:before="100" w:beforeAutospacing="1" w:after="100" w:afterAutospacing="1" w:line="240" w:lineRule="auto"/>
        <w:ind w:right="95"/>
        <w:rPr>
          <w:rFonts w:ascii="Arial" w:hAnsi="Arial" w:cs="Arial"/>
        </w:rPr>
      </w:pPr>
      <w:r w:rsidRPr="00207CDA">
        <w:rPr>
          <w:rFonts w:ascii="Arial" w:hAnsi="Arial" w:cs="Arial"/>
        </w:rPr>
        <w:t>Sources of information</w:t>
      </w:r>
      <w:r w:rsidR="00D81F65" w:rsidRPr="00207CDA">
        <w:rPr>
          <w:rFonts w:ascii="Arial" w:hAnsi="Arial" w:cs="Arial"/>
        </w:rPr>
        <w:t xml:space="preserve"> to </w:t>
      </w:r>
      <w:r w:rsidR="00FE77FB" w:rsidRPr="00207CDA">
        <w:rPr>
          <w:rFonts w:ascii="Arial" w:hAnsi="Arial" w:cs="Arial"/>
        </w:rPr>
        <w:t xml:space="preserve">bring into scope </w:t>
      </w:r>
      <w:r w:rsidR="00D81F65" w:rsidRPr="00207CDA">
        <w:rPr>
          <w:rFonts w:ascii="Arial" w:hAnsi="Arial" w:cs="Arial"/>
        </w:rPr>
        <w:t xml:space="preserve">(e.g. </w:t>
      </w:r>
      <w:r w:rsidR="00A43F67" w:rsidRPr="00207CDA">
        <w:rPr>
          <w:rFonts w:ascii="Arial" w:hAnsi="Arial" w:cs="Arial"/>
        </w:rPr>
        <w:t>pe</w:t>
      </w:r>
      <w:r w:rsidR="001A259C" w:rsidRPr="00207CDA">
        <w:rPr>
          <w:rFonts w:ascii="Arial" w:hAnsi="Arial" w:cs="Arial"/>
        </w:rPr>
        <w:t>e</w:t>
      </w:r>
      <w:r w:rsidR="00A43F67" w:rsidRPr="00207CDA">
        <w:rPr>
          <w:rFonts w:ascii="Arial" w:hAnsi="Arial" w:cs="Arial"/>
        </w:rPr>
        <w:t xml:space="preserve">r reviewed journal articles, government </w:t>
      </w:r>
      <w:r w:rsidR="001A259C" w:rsidRPr="00207CDA">
        <w:rPr>
          <w:rFonts w:ascii="Arial" w:hAnsi="Arial" w:cs="Arial"/>
        </w:rPr>
        <w:t xml:space="preserve">reports etc) </w:t>
      </w:r>
      <w:r w:rsidRPr="00207CDA">
        <w:rPr>
          <w:rFonts w:ascii="Arial" w:hAnsi="Arial" w:cs="Arial"/>
        </w:rPr>
        <w:t>including databases</w:t>
      </w:r>
      <w:r w:rsidR="001A259C" w:rsidRPr="00207CDA">
        <w:rPr>
          <w:rFonts w:ascii="Arial" w:hAnsi="Arial" w:cs="Arial"/>
        </w:rPr>
        <w:t xml:space="preserve"> and journals</w:t>
      </w:r>
      <w:r w:rsidRPr="00207CDA">
        <w:rPr>
          <w:rFonts w:ascii="Arial" w:hAnsi="Arial" w:cs="Arial"/>
        </w:rPr>
        <w:t xml:space="preserve"> to be searched</w:t>
      </w:r>
      <w:r w:rsidR="001A259C" w:rsidRPr="00207CDA">
        <w:rPr>
          <w:rFonts w:ascii="Arial" w:hAnsi="Arial" w:cs="Arial"/>
        </w:rPr>
        <w:t>;</w:t>
      </w:r>
    </w:p>
    <w:p w14:paraId="0D821B29" w14:textId="44A3373C" w:rsidR="008D0FD4" w:rsidRPr="00207CDA" w:rsidRDefault="008D0FD4" w:rsidP="00164CAB">
      <w:pPr>
        <w:pStyle w:val="ListParagraph"/>
        <w:numPr>
          <w:ilvl w:val="0"/>
          <w:numId w:val="17"/>
        </w:numPr>
        <w:shd w:val="clear" w:color="auto" w:fill="FFFFFF"/>
        <w:spacing w:before="100" w:beforeAutospacing="1" w:after="100" w:afterAutospacing="1" w:line="240" w:lineRule="auto"/>
        <w:ind w:right="95"/>
        <w:rPr>
          <w:rFonts w:ascii="Arial" w:hAnsi="Arial" w:cs="Arial"/>
        </w:rPr>
      </w:pPr>
      <w:r>
        <w:rPr>
          <w:rFonts w:ascii="Arial" w:hAnsi="Arial" w:cs="Arial"/>
        </w:rPr>
        <w:t>The type of studies/ evidence to be included (e.g. quantitative and</w:t>
      </w:r>
      <w:r w:rsidR="00B55B20">
        <w:rPr>
          <w:rFonts w:ascii="Arial" w:hAnsi="Arial" w:cs="Arial"/>
        </w:rPr>
        <w:t>/or</w:t>
      </w:r>
      <w:r>
        <w:rPr>
          <w:rFonts w:ascii="Arial" w:hAnsi="Arial" w:cs="Arial"/>
        </w:rPr>
        <w:t xml:space="preserve"> qualitative);</w:t>
      </w:r>
    </w:p>
    <w:p w14:paraId="5C8F71CD" w14:textId="271F14AA" w:rsidR="001A259C" w:rsidRPr="00207CDA" w:rsidRDefault="001A259C" w:rsidP="00164CAB">
      <w:pPr>
        <w:pStyle w:val="ListParagraph"/>
        <w:numPr>
          <w:ilvl w:val="0"/>
          <w:numId w:val="17"/>
        </w:numPr>
        <w:shd w:val="clear" w:color="auto" w:fill="FFFFFF"/>
        <w:spacing w:before="100" w:beforeAutospacing="1" w:after="100" w:afterAutospacing="1" w:line="240" w:lineRule="auto"/>
        <w:ind w:right="95"/>
        <w:rPr>
          <w:rFonts w:ascii="Arial" w:hAnsi="Arial" w:cs="Arial"/>
        </w:rPr>
      </w:pPr>
      <w:r w:rsidRPr="00207CDA">
        <w:rPr>
          <w:rFonts w:ascii="Arial" w:hAnsi="Arial" w:cs="Arial"/>
        </w:rPr>
        <w:t>Whether any international literature should be</w:t>
      </w:r>
      <w:r w:rsidR="002D7497">
        <w:rPr>
          <w:rFonts w:ascii="Arial" w:hAnsi="Arial" w:cs="Arial"/>
        </w:rPr>
        <w:t xml:space="preserve"> included</w:t>
      </w:r>
      <w:r w:rsidRPr="00207CDA">
        <w:rPr>
          <w:rFonts w:ascii="Arial" w:hAnsi="Arial" w:cs="Arial"/>
        </w:rPr>
        <w:t xml:space="preserve"> </w:t>
      </w:r>
      <w:r w:rsidR="00F474D3" w:rsidRPr="00207CDA">
        <w:rPr>
          <w:rFonts w:ascii="Arial" w:hAnsi="Arial" w:cs="Arial"/>
        </w:rPr>
        <w:t>within the scope of the work;</w:t>
      </w:r>
    </w:p>
    <w:p w14:paraId="2928A7FD" w14:textId="47AE2D51" w:rsidR="00F474D3" w:rsidRPr="00207CDA" w:rsidRDefault="00F474D3" w:rsidP="00164CAB">
      <w:pPr>
        <w:pStyle w:val="ListParagraph"/>
        <w:numPr>
          <w:ilvl w:val="0"/>
          <w:numId w:val="17"/>
        </w:numPr>
        <w:shd w:val="clear" w:color="auto" w:fill="FFFFFF"/>
        <w:spacing w:before="100" w:beforeAutospacing="1" w:after="100" w:afterAutospacing="1" w:line="240" w:lineRule="auto"/>
        <w:ind w:right="95"/>
        <w:rPr>
          <w:rFonts w:ascii="Arial" w:hAnsi="Arial" w:cs="Arial"/>
        </w:rPr>
      </w:pPr>
      <w:r w:rsidRPr="00207CDA">
        <w:rPr>
          <w:rFonts w:ascii="Arial" w:hAnsi="Arial" w:cs="Arial"/>
        </w:rPr>
        <w:t>The time period over which to search for relevant evidence</w:t>
      </w:r>
      <w:r w:rsidR="00207CDA" w:rsidRPr="00207CDA">
        <w:rPr>
          <w:rFonts w:ascii="Arial" w:hAnsi="Arial" w:cs="Arial"/>
        </w:rPr>
        <w:t>;</w:t>
      </w:r>
    </w:p>
    <w:p w14:paraId="000D59A4" w14:textId="2EB58A01" w:rsidR="00207CDA" w:rsidRDefault="00207CDA" w:rsidP="00164CAB">
      <w:pPr>
        <w:pStyle w:val="ListParagraph"/>
        <w:numPr>
          <w:ilvl w:val="0"/>
          <w:numId w:val="17"/>
        </w:numPr>
        <w:shd w:val="clear" w:color="auto" w:fill="FFFFFF"/>
        <w:spacing w:before="100" w:beforeAutospacing="1" w:after="100" w:afterAutospacing="1" w:line="240" w:lineRule="auto"/>
        <w:ind w:right="95"/>
        <w:rPr>
          <w:rFonts w:ascii="Arial" w:hAnsi="Arial" w:cs="Arial"/>
        </w:rPr>
      </w:pPr>
      <w:r w:rsidRPr="00207CDA">
        <w:rPr>
          <w:rFonts w:ascii="Arial" w:hAnsi="Arial" w:cs="Arial"/>
        </w:rPr>
        <w:t>How an assessment of quality/</w:t>
      </w:r>
      <w:r w:rsidR="002D7497">
        <w:rPr>
          <w:rFonts w:ascii="Arial" w:hAnsi="Arial" w:cs="Arial"/>
        </w:rPr>
        <w:t xml:space="preserve"> </w:t>
      </w:r>
      <w:r w:rsidRPr="00207CDA">
        <w:rPr>
          <w:rFonts w:ascii="Arial" w:hAnsi="Arial" w:cs="Arial"/>
        </w:rPr>
        <w:t>the strength of the evidence might be conducted</w:t>
      </w:r>
      <w:r w:rsidR="001E5A4A">
        <w:rPr>
          <w:rFonts w:ascii="Arial" w:hAnsi="Arial" w:cs="Arial"/>
        </w:rPr>
        <w:t>;</w:t>
      </w:r>
      <w:r w:rsidR="00B55B20">
        <w:rPr>
          <w:rFonts w:ascii="Arial" w:hAnsi="Arial" w:cs="Arial"/>
        </w:rPr>
        <w:t xml:space="preserve"> and,</w:t>
      </w:r>
    </w:p>
    <w:p w14:paraId="3040FE76" w14:textId="3046B7EE" w:rsidR="001E5A4A" w:rsidRDefault="001E5A4A" w:rsidP="00164CAB">
      <w:pPr>
        <w:pStyle w:val="ListParagraph"/>
        <w:numPr>
          <w:ilvl w:val="0"/>
          <w:numId w:val="17"/>
        </w:numPr>
        <w:shd w:val="clear" w:color="auto" w:fill="FFFFFF"/>
        <w:spacing w:before="100" w:beforeAutospacing="1" w:after="100" w:afterAutospacing="1" w:line="240" w:lineRule="auto"/>
        <w:ind w:right="95"/>
        <w:rPr>
          <w:rFonts w:ascii="Arial" w:hAnsi="Arial" w:cs="Arial"/>
        </w:rPr>
      </w:pPr>
      <w:r>
        <w:rPr>
          <w:rFonts w:ascii="Arial" w:hAnsi="Arial" w:cs="Arial"/>
        </w:rPr>
        <w:t>Any other important considerations for a study of th</w:t>
      </w:r>
      <w:r w:rsidR="002D7497">
        <w:rPr>
          <w:rFonts w:ascii="Arial" w:hAnsi="Arial" w:cs="Arial"/>
        </w:rPr>
        <w:t>is</w:t>
      </w:r>
      <w:r>
        <w:rPr>
          <w:rFonts w:ascii="Arial" w:hAnsi="Arial" w:cs="Arial"/>
        </w:rPr>
        <w:t xml:space="preserve"> type.</w:t>
      </w:r>
    </w:p>
    <w:p w14:paraId="4BC7A472" w14:textId="77777777" w:rsidR="00CA02D2" w:rsidRDefault="00CA02D2" w:rsidP="00164CAB">
      <w:pPr>
        <w:ind w:right="95"/>
        <w:rPr>
          <w:rFonts w:ascii="Arial" w:hAnsi="Arial" w:cs="Arial"/>
          <w:b/>
        </w:rPr>
      </w:pPr>
    </w:p>
    <w:p w14:paraId="554FC713" w14:textId="1A1106EA" w:rsidR="00923391" w:rsidRPr="00923391" w:rsidRDefault="00AB7E64" w:rsidP="00164CAB">
      <w:pPr>
        <w:ind w:right="95"/>
        <w:rPr>
          <w:rFonts w:ascii="Arial" w:hAnsi="Arial" w:cs="Arial"/>
          <w:b/>
        </w:rPr>
      </w:pPr>
      <w:r>
        <w:rPr>
          <w:rFonts w:ascii="Arial" w:hAnsi="Arial" w:cs="Arial"/>
          <w:b/>
        </w:rPr>
        <w:t xml:space="preserve">4. </w:t>
      </w:r>
      <w:r w:rsidR="00923391" w:rsidRPr="00923391">
        <w:rPr>
          <w:rFonts w:ascii="Arial" w:hAnsi="Arial" w:cs="Arial"/>
          <w:b/>
        </w:rPr>
        <w:t>Analysis and reporting</w:t>
      </w:r>
    </w:p>
    <w:p w14:paraId="1876C41D" w14:textId="56F6168F" w:rsidR="00923391" w:rsidRPr="00DE1B0B" w:rsidRDefault="00B55B20" w:rsidP="00164CAB">
      <w:pPr>
        <w:ind w:right="95"/>
        <w:rPr>
          <w:rFonts w:ascii="Arial" w:hAnsi="Arial" w:cs="Arial"/>
        </w:rPr>
      </w:pPr>
      <w:r>
        <w:rPr>
          <w:rFonts w:ascii="Arial" w:hAnsi="Arial" w:cs="Arial"/>
        </w:rPr>
        <w:t>4.1</w:t>
      </w:r>
      <w:r>
        <w:rPr>
          <w:rFonts w:ascii="Arial" w:hAnsi="Arial" w:cs="Arial"/>
        </w:rPr>
        <w:tab/>
      </w:r>
      <w:r w:rsidR="00923391" w:rsidRPr="00923391">
        <w:rPr>
          <w:rFonts w:ascii="Arial" w:hAnsi="Arial" w:cs="Arial"/>
        </w:rPr>
        <w:t>Contractors must submit</w:t>
      </w:r>
      <w:r w:rsidR="00923391" w:rsidRPr="007E2924">
        <w:rPr>
          <w:rFonts w:ascii="Arial" w:hAnsi="Arial" w:cs="Arial"/>
        </w:rPr>
        <w:t xml:space="preserve"> </w:t>
      </w:r>
      <w:r w:rsidR="00371949">
        <w:rPr>
          <w:rFonts w:ascii="Arial" w:hAnsi="Arial" w:cs="Arial"/>
        </w:rPr>
        <w:t>a</w:t>
      </w:r>
      <w:r w:rsidR="00D84742">
        <w:rPr>
          <w:rFonts w:ascii="Arial" w:hAnsi="Arial" w:cs="Arial"/>
        </w:rPr>
        <w:t xml:space="preserve"> </w:t>
      </w:r>
      <w:r w:rsidR="00B931E3">
        <w:rPr>
          <w:rFonts w:ascii="Arial" w:hAnsi="Arial" w:cs="Arial"/>
        </w:rPr>
        <w:t>literature review of publishable standard</w:t>
      </w:r>
      <w:r w:rsidR="00371949">
        <w:rPr>
          <w:rFonts w:ascii="Arial" w:hAnsi="Arial" w:cs="Arial"/>
        </w:rPr>
        <w:t xml:space="preserve"> </w:t>
      </w:r>
      <w:r w:rsidR="00B931E3">
        <w:rPr>
          <w:rFonts w:ascii="Arial" w:hAnsi="Arial" w:cs="Arial"/>
        </w:rPr>
        <w:t>in a template agreed with the O</w:t>
      </w:r>
      <w:r>
        <w:rPr>
          <w:rFonts w:ascii="Arial" w:hAnsi="Arial" w:cs="Arial"/>
        </w:rPr>
        <w:t>SC</w:t>
      </w:r>
      <w:r w:rsidR="00355FC7">
        <w:rPr>
          <w:rFonts w:ascii="Arial" w:hAnsi="Arial" w:cs="Arial"/>
        </w:rPr>
        <w:t xml:space="preserve">; the evidence should be presented in such a way that it is accessible to the </w:t>
      </w:r>
      <w:r w:rsidR="00A4503A">
        <w:rPr>
          <w:rFonts w:ascii="Arial" w:hAnsi="Arial" w:cs="Arial"/>
        </w:rPr>
        <w:t xml:space="preserve">Council’s key audiences </w:t>
      </w:r>
      <w:r w:rsidR="00E365FA">
        <w:rPr>
          <w:rFonts w:ascii="Arial" w:hAnsi="Arial" w:cs="Arial"/>
        </w:rPr>
        <w:t xml:space="preserve">when published </w:t>
      </w:r>
      <w:r w:rsidR="00A4503A">
        <w:rPr>
          <w:rFonts w:ascii="Arial" w:hAnsi="Arial" w:cs="Arial"/>
        </w:rPr>
        <w:t xml:space="preserve">(including sentencers and the general public). </w:t>
      </w:r>
      <w:r w:rsidR="00D84742">
        <w:rPr>
          <w:rFonts w:ascii="Arial" w:hAnsi="Arial" w:cs="Arial"/>
        </w:rPr>
        <w:t xml:space="preserve">Full references and weblinks should be included. </w:t>
      </w:r>
      <w:r w:rsidR="0006204F">
        <w:rPr>
          <w:rFonts w:ascii="Arial" w:hAnsi="Arial" w:cs="Arial"/>
        </w:rPr>
        <w:t xml:space="preserve"> A slide pack should also be produced for inte</w:t>
      </w:r>
      <w:r w:rsidR="00580C86">
        <w:rPr>
          <w:rFonts w:ascii="Arial" w:hAnsi="Arial" w:cs="Arial"/>
        </w:rPr>
        <w:t>rn</w:t>
      </w:r>
      <w:r w:rsidR="0006204F">
        <w:rPr>
          <w:rFonts w:ascii="Arial" w:hAnsi="Arial" w:cs="Arial"/>
        </w:rPr>
        <w:t>al use.</w:t>
      </w:r>
    </w:p>
    <w:p w14:paraId="517B1606" w14:textId="336FDCEF" w:rsidR="00923391" w:rsidRPr="00CA02D2" w:rsidRDefault="00923391" w:rsidP="00164CAB">
      <w:pPr>
        <w:ind w:right="95"/>
        <w:rPr>
          <w:rFonts w:ascii="Arial" w:hAnsi="Arial" w:cs="Arial"/>
          <w:bCs/>
        </w:rPr>
      </w:pPr>
      <w:r w:rsidRPr="0006204F">
        <w:rPr>
          <w:rFonts w:ascii="Arial" w:hAnsi="Arial" w:cs="Arial"/>
          <w:bCs/>
        </w:rPr>
        <w:t>4</w:t>
      </w:r>
      <w:r w:rsidRPr="00CA3421">
        <w:rPr>
          <w:rFonts w:ascii="Arial" w:hAnsi="Arial" w:cs="Arial"/>
          <w:bCs/>
        </w:rPr>
        <w:t>.2</w:t>
      </w:r>
      <w:r w:rsidRPr="00CA3421">
        <w:rPr>
          <w:rFonts w:ascii="Arial" w:hAnsi="Arial" w:cs="Arial"/>
          <w:bCs/>
        </w:rPr>
        <w:tab/>
      </w:r>
      <w:r w:rsidR="005863A4" w:rsidRPr="008D0FD4">
        <w:rPr>
          <w:rFonts w:ascii="Arial" w:hAnsi="Arial" w:cs="Arial"/>
          <w:b/>
          <w:bCs/>
        </w:rPr>
        <w:t xml:space="preserve">This project needs to be completed by the end </w:t>
      </w:r>
      <w:r w:rsidR="005863A4">
        <w:rPr>
          <w:rFonts w:ascii="Arial" w:hAnsi="Arial" w:cs="Arial"/>
          <w:b/>
          <w:bCs/>
        </w:rPr>
        <w:t>June.</w:t>
      </w:r>
      <w:r w:rsidR="005863A4" w:rsidRPr="008D0FD4">
        <w:rPr>
          <w:rFonts w:ascii="Arial" w:hAnsi="Arial" w:cs="Arial"/>
        </w:rPr>
        <w:t xml:space="preserve"> </w:t>
      </w:r>
      <w:r w:rsidR="005863A4">
        <w:rPr>
          <w:rFonts w:ascii="Arial" w:hAnsi="Arial" w:cs="Arial"/>
        </w:rPr>
        <w:t>Interim f</w:t>
      </w:r>
      <w:r w:rsidR="005863A4" w:rsidRPr="008D0FD4">
        <w:rPr>
          <w:rFonts w:ascii="Arial" w:hAnsi="Arial" w:cs="Arial"/>
        </w:rPr>
        <w:t xml:space="preserve">indings will be needed by </w:t>
      </w:r>
      <w:r w:rsidR="005863A4">
        <w:rPr>
          <w:rFonts w:ascii="Arial" w:hAnsi="Arial" w:cs="Arial"/>
        </w:rPr>
        <w:t>the end of March. A full draft report is then needed by mid-May in</w:t>
      </w:r>
      <w:r w:rsidR="005863A4" w:rsidRPr="008D0FD4">
        <w:rPr>
          <w:rFonts w:ascii="Arial" w:hAnsi="Arial" w:cs="Arial"/>
        </w:rPr>
        <w:t xml:space="preserve"> order to leave time for the Office of the Sentencing Council (OSC) to comment and for a final report to be submitted by the end of </w:t>
      </w:r>
      <w:r w:rsidR="005863A4">
        <w:rPr>
          <w:rFonts w:ascii="Arial" w:hAnsi="Arial" w:cs="Arial"/>
        </w:rPr>
        <w:t>June</w:t>
      </w:r>
      <w:r w:rsidR="005863A4" w:rsidRPr="008D0FD4">
        <w:rPr>
          <w:rFonts w:ascii="Arial" w:hAnsi="Arial" w:cs="Arial"/>
        </w:rPr>
        <w:t xml:space="preserve">. </w:t>
      </w:r>
    </w:p>
    <w:p w14:paraId="3E8AFF2D" w14:textId="77777777" w:rsidR="00923391" w:rsidRPr="00CA02D2" w:rsidRDefault="00923391" w:rsidP="00164CAB">
      <w:pPr>
        <w:ind w:left="720" w:right="95" w:hanging="720"/>
        <w:rPr>
          <w:rFonts w:ascii="Arial" w:hAnsi="Arial" w:cs="Arial"/>
        </w:rPr>
      </w:pPr>
    </w:p>
    <w:p w14:paraId="756C3364" w14:textId="77777777" w:rsidR="00923391" w:rsidRPr="00CA02D2" w:rsidRDefault="00923391" w:rsidP="00164CAB">
      <w:pPr>
        <w:ind w:left="720" w:right="95" w:hanging="720"/>
        <w:rPr>
          <w:rFonts w:ascii="Arial" w:hAnsi="Arial" w:cs="Arial"/>
          <w:b/>
        </w:rPr>
      </w:pPr>
      <w:r w:rsidRPr="00CA02D2">
        <w:rPr>
          <w:rFonts w:ascii="Arial" w:hAnsi="Arial" w:cs="Arial"/>
          <w:b/>
        </w:rPr>
        <w:t>5.</w:t>
      </w:r>
      <w:r w:rsidRPr="00CA02D2">
        <w:rPr>
          <w:rFonts w:ascii="Arial" w:hAnsi="Arial" w:cs="Arial"/>
          <w:b/>
        </w:rPr>
        <w:tab/>
        <w:t>Day-to-Day Management</w:t>
      </w:r>
    </w:p>
    <w:p w14:paraId="3BB67115" w14:textId="77777777" w:rsidR="00923391" w:rsidRPr="00CA02D2" w:rsidRDefault="00923391" w:rsidP="00164CAB">
      <w:pPr>
        <w:ind w:right="95"/>
        <w:rPr>
          <w:rFonts w:ascii="Arial" w:hAnsi="Arial" w:cs="Arial"/>
        </w:rPr>
      </w:pPr>
      <w:r w:rsidRPr="00CA02D2">
        <w:rPr>
          <w:rFonts w:ascii="Arial" w:hAnsi="Arial" w:cs="Arial"/>
        </w:rPr>
        <w:t>5.1</w:t>
      </w:r>
      <w:r w:rsidRPr="00CA02D2">
        <w:rPr>
          <w:rFonts w:ascii="Arial" w:hAnsi="Arial" w:cs="Arial"/>
        </w:rPr>
        <w:tab/>
        <w:t xml:space="preserve">Contractors must liaise with the project manager closely throughout the course of the project and provide a fortnightly email update on progress. </w:t>
      </w:r>
    </w:p>
    <w:p w14:paraId="32B6464B" w14:textId="604E1C7B" w:rsidR="00923391" w:rsidRPr="00CA02D2" w:rsidRDefault="00923391" w:rsidP="00164CAB">
      <w:pPr>
        <w:ind w:left="720" w:right="95" w:hanging="720"/>
        <w:rPr>
          <w:rFonts w:ascii="Arial" w:hAnsi="Arial" w:cs="Arial"/>
        </w:rPr>
      </w:pPr>
      <w:r w:rsidRPr="00CA02D2">
        <w:rPr>
          <w:rFonts w:ascii="Arial" w:hAnsi="Arial" w:cs="Arial"/>
        </w:rPr>
        <w:t>5.2</w:t>
      </w:r>
      <w:r w:rsidRPr="00CA02D2">
        <w:rPr>
          <w:rFonts w:ascii="Arial" w:hAnsi="Arial" w:cs="Arial"/>
        </w:rPr>
        <w:tab/>
      </w:r>
      <w:r w:rsidR="00B55B20">
        <w:rPr>
          <w:rFonts w:ascii="Arial" w:hAnsi="Arial" w:cs="Arial"/>
        </w:rPr>
        <w:t>A minimum of t</w:t>
      </w:r>
      <w:r w:rsidRPr="00CA02D2">
        <w:rPr>
          <w:rFonts w:ascii="Arial" w:hAnsi="Arial" w:cs="Arial"/>
        </w:rPr>
        <w:t>wo meetings will be required with the contractors:</w:t>
      </w:r>
    </w:p>
    <w:p w14:paraId="203F6E9C" w14:textId="0B73F479" w:rsidR="00923391" w:rsidRPr="00CA02D2" w:rsidRDefault="00923391" w:rsidP="00164CAB">
      <w:pPr>
        <w:numPr>
          <w:ilvl w:val="0"/>
          <w:numId w:val="18"/>
        </w:numPr>
        <w:spacing w:after="0" w:line="240" w:lineRule="auto"/>
        <w:ind w:right="95"/>
        <w:rPr>
          <w:rFonts w:ascii="Arial" w:hAnsi="Arial" w:cs="Arial"/>
        </w:rPr>
      </w:pPr>
      <w:r w:rsidRPr="00CA02D2">
        <w:rPr>
          <w:rFonts w:ascii="Arial" w:hAnsi="Arial" w:cs="Arial"/>
        </w:rPr>
        <w:t>An inception meeting/ discussion to finalise the research design;</w:t>
      </w:r>
      <w:r w:rsidR="00B55B20">
        <w:rPr>
          <w:rFonts w:ascii="Arial" w:hAnsi="Arial" w:cs="Arial"/>
        </w:rPr>
        <w:t xml:space="preserve"> and,</w:t>
      </w:r>
    </w:p>
    <w:p w14:paraId="7614D67D" w14:textId="43F44C7E" w:rsidR="005863A4" w:rsidRDefault="00923391" w:rsidP="005863A4">
      <w:pPr>
        <w:pStyle w:val="ListParagraph"/>
        <w:numPr>
          <w:ilvl w:val="0"/>
          <w:numId w:val="18"/>
        </w:numPr>
        <w:spacing w:after="0" w:line="240" w:lineRule="auto"/>
        <w:ind w:right="95"/>
        <w:rPr>
          <w:rFonts w:ascii="Arial" w:hAnsi="Arial" w:cs="Arial"/>
        </w:rPr>
      </w:pPr>
      <w:r w:rsidRPr="00CA02D2">
        <w:rPr>
          <w:rFonts w:ascii="Arial" w:hAnsi="Arial" w:cs="Arial"/>
        </w:rPr>
        <w:t>A meeting to discuss key findings and OSC feedback.</w:t>
      </w:r>
    </w:p>
    <w:p w14:paraId="0E275AD6" w14:textId="4030B6FB" w:rsidR="005863A4" w:rsidRDefault="005863A4" w:rsidP="005863A4">
      <w:pPr>
        <w:spacing w:after="0" w:line="240" w:lineRule="auto"/>
        <w:ind w:right="95"/>
        <w:rPr>
          <w:rFonts w:ascii="Arial" w:hAnsi="Arial" w:cs="Arial"/>
        </w:rPr>
      </w:pPr>
    </w:p>
    <w:p w14:paraId="27E89639" w14:textId="20D7D6C9" w:rsidR="005863A4" w:rsidRDefault="005863A4" w:rsidP="005863A4">
      <w:pPr>
        <w:spacing w:after="0" w:line="240" w:lineRule="auto"/>
        <w:ind w:right="95"/>
        <w:rPr>
          <w:rFonts w:ascii="Arial" w:hAnsi="Arial" w:cs="Arial"/>
        </w:rPr>
      </w:pPr>
    </w:p>
    <w:p w14:paraId="13579AD7" w14:textId="22DBD7F7" w:rsidR="005863A4" w:rsidRDefault="005863A4" w:rsidP="005863A4">
      <w:pPr>
        <w:spacing w:after="0" w:line="240" w:lineRule="auto"/>
        <w:ind w:right="95"/>
        <w:rPr>
          <w:rFonts w:ascii="Arial" w:hAnsi="Arial" w:cs="Arial"/>
        </w:rPr>
      </w:pPr>
    </w:p>
    <w:p w14:paraId="66F8D880" w14:textId="77777777" w:rsidR="005863A4" w:rsidRPr="005863A4" w:rsidRDefault="005863A4" w:rsidP="005863A4">
      <w:pPr>
        <w:spacing w:after="0" w:line="240" w:lineRule="auto"/>
        <w:ind w:right="95"/>
        <w:rPr>
          <w:rFonts w:ascii="Arial" w:hAnsi="Arial" w:cs="Arial"/>
        </w:rPr>
      </w:pPr>
    </w:p>
    <w:p w14:paraId="6E14EA5D" w14:textId="77777777" w:rsidR="005863A4" w:rsidRPr="005863A4" w:rsidRDefault="005863A4" w:rsidP="005863A4">
      <w:pPr>
        <w:pStyle w:val="ListParagraph"/>
        <w:spacing w:after="0" w:line="240" w:lineRule="auto"/>
        <w:ind w:left="1080" w:right="95"/>
        <w:rPr>
          <w:rFonts w:ascii="Arial" w:hAnsi="Arial" w:cs="Arial"/>
        </w:rPr>
      </w:pPr>
    </w:p>
    <w:p w14:paraId="259ECC8F" w14:textId="77777777" w:rsidR="006C31AF" w:rsidRPr="00CA02D2" w:rsidRDefault="006C31AF" w:rsidP="00164CAB">
      <w:pPr>
        <w:pStyle w:val="ListParagraph"/>
        <w:ind w:left="1080" w:right="95"/>
        <w:rPr>
          <w:rFonts w:ascii="Arial" w:hAnsi="Arial" w:cs="Arial"/>
        </w:rPr>
      </w:pPr>
    </w:p>
    <w:p w14:paraId="7A93C47A" w14:textId="77777777" w:rsidR="00923391" w:rsidRPr="00BD1D46" w:rsidRDefault="00923391" w:rsidP="00164CAB">
      <w:pPr>
        <w:ind w:left="720" w:right="95" w:hanging="720"/>
        <w:rPr>
          <w:rFonts w:ascii="Arial" w:hAnsi="Arial" w:cs="Arial"/>
          <w:b/>
        </w:rPr>
      </w:pPr>
      <w:r w:rsidRPr="00BD1D46">
        <w:rPr>
          <w:rFonts w:ascii="Arial" w:hAnsi="Arial" w:cs="Arial"/>
          <w:b/>
        </w:rPr>
        <w:lastRenderedPageBreak/>
        <w:t xml:space="preserve">6. </w:t>
      </w:r>
      <w:r w:rsidRPr="00BD1D46">
        <w:rPr>
          <w:rFonts w:ascii="Arial" w:hAnsi="Arial" w:cs="Arial"/>
          <w:b/>
        </w:rPr>
        <w:tab/>
        <w:t>Timetable</w:t>
      </w:r>
    </w:p>
    <w:p w14:paraId="2C9EEA27" w14:textId="565520C6" w:rsidR="00923391" w:rsidRPr="00923391" w:rsidRDefault="00923391" w:rsidP="00164CAB">
      <w:pPr>
        <w:ind w:left="720" w:right="95" w:hanging="720"/>
        <w:rPr>
          <w:rFonts w:ascii="Arial" w:hAnsi="Arial" w:cs="Arial"/>
        </w:rPr>
      </w:pPr>
      <w:r w:rsidRPr="00BD1D46">
        <w:rPr>
          <w:rFonts w:ascii="Arial" w:hAnsi="Arial" w:cs="Arial"/>
        </w:rPr>
        <w:t>6.1</w:t>
      </w:r>
      <w:r w:rsidRPr="00BD1D46">
        <w:rPr>
          <w:rFonts w:ascii="Arial" w:hAnsi="Arial" w:cs="Arial"/>
        </w:rPr>
        <w:tab/>
        <w:t xml:space="preserve">The following outlines </w:t>
      </w:r>
      <w:r w:rsidR="00B931E3">
        <w:rPr>
          <w:rFonts w:ascii="Arial" w:hAnsi="Arial" w:cs="Arial"/>
        </w:rPr>
        <w:t>the</w:t>
      </w:r>
      <w:r w:rsidR="00B931E3" w:rsidRPr="00BD1D46">
        <w:rPr>
          <w:rFonts w:ascii="Arial" w:hAnsi="Arial" w:cs="Arial"/>
        </w:rPr>
        <w:t xml:space="preserve"> </w:t>
      </w:r>
      <w:r w:rsidR="00B931E3">
        <w:rPr>
          <w:rFonts w:ascii="Arial" w:hAnsi="Arial" w:cs="Arial"/>
        </w:rPr>
        <w:t xml:space="preserve">key </w:t>
      </w:r>
      <w:r w:rsidRPr="00BD1D46">
        <w:rPr>
          <w:rFonts w:ascii="Arial" w:hAnsi="Arial" w:cs="Arial"/>
        </w:rPr>
        <w:t>date</w:t>
      </w:r>
      <w:r w:rsidR="00B931E3">
        <w:rPr>
          <w:rFonts w:ascii="Arial" w:hAnsi="Arial" w:cs="Arial"/>
        </w:rPr>
        <w:t>s</w:t>
      </w:r>
      <w:r w:rsidRPr="00BD1D46">
        <w:rPr>
          <w:rFonts w:ascii="Arial" w:hAnsi="Arial" w:cs="Arial"/>
        </w:rPr>
        <w:t xml:space="preserve"> for commissioning this research</w:t>
      </w:r>
      <w:r w:rsidRPr="00923391">
        <w:rPr>
          <w:rFonts w:ascii="Arial" w:hAnsi="Arial" w:cs="Arial"/>
        </w:rPr>
        <w:t>:</w:t>
      </w:r>
    </w:p>
    <w:tbl>
      <w:tblPr>
        <w:tblStyle w:val="TableGrid1"/>
        <w:tblW w:w="0" w:type="auto"/>
        <w:tblLook w:val="04A0" w:firstRow="1" w:lastRow="0" w:firstColumn="1" w:lastColumn="0" w:noHBand="0" w:noVBand="1"/>
      </w:tblPr>
      <w:tblGrid>
        <w:gridCol w:w="6374"/>
        <w:gridCol w:w="2642"/>
      </w:tblGrid>
      <w:tr w:rsidR="00B931E3" w:rsidRPr="006C31AF" w14:paraId="3A29B61A" w14:textId="77777777" w:rsidTr="00384BB8">
        <w:tc>
          <w:tcPr>
            <w:tcW w:w="6374" w:type="dxa"/>
          </w:tcPr>
          <w:p w14:paraId="796D7B83" w14:textId="77777777" w:rsidR="00B931E3" w:rsidRPr="006C31AF" w:rsidRDefault="00B931E3" w:rsidP="00164CAB">
            <w:pPr>
              <w:spacing w:before="100" w:beforeAutospacing="1" w:after="100" w:afterAutospacing="1"/>
              <w:ind w:right="95"/>
              <w:rPr>
                <w:rFonts w:ascii="Arial" w:hAnsi="Arial" w:cs="Arial"/>
                <w:b/>
                <w:bCs/>
              </w:rPr>
            </w:pPr>
            <w:r w:rsidRPr="006C31AF">
              <w:rPr>
                <w:rFonts w:ascii="Arial" w:hAnsi="Arial" w:cs="Arial"/>
                <w:b/>
                <w:bCs/>
              </w:rPr>
              <w:t>Activity</w:t>
            </w:r>
          </w:p>
        </w:tc>
        <w:tc>
          <w:tcPr>
            <w:tcW w:w="2642" w:type="dxa"/>
          </w:tcPr>
          <w:p w14:paraId="78283943" w14:textId="77777777" w:rsidR="00B931E3" w:rsidRPr="006C31AF" w:rsidRDefault="00B931E3" w:rsidP="00164CAB">
            <w:pPr>
              <w:spacing w:before="100" w:beforeAutospacing="1" w:after="100" w:afterAutospacing="1"/>
              <w:ind w:right="95"/>
              <w:rPr>
                <w:rFonts w:ascii="Arial" w:hAnsi="Arial" w:cs="Arial"/>
                <w:b/>
                <w:bCs/>
              </w:rPr>
            </w:pPr>
            <w:r w:rsidRPr="006C31AF">
              <w:rPr>
                <w:rFonts w:ascii="Arial" w:hAnsi="Arial" w:cs="Arial"/>
                <w:b/>
                <w:bCs/>
              </w:rPr>
              <w:t>Date</w:t>
            </w:r>
          </w:p>
        </w:tc>
      </w:tr>
      <w:tr w:rsidR="00B931E3" w:rsidRPr="00B931E3" w14:paraId="48EA81A8" w14:textId="77777777" w:rsidTr="00384BB8">
        <w:tc>
          <w:tcPr>
            <w:tcW w:w="6374" w:type="dxa"/>
          </w:tcPr>
          <w:p w14:paraId="6D3BD989" w14:textId="7691864B" w:rsidR="00B931E3" w:rsidRPr="00B931E3" w:rsidRDefault="00B55B20" w:rsidP="00164CAB">
            <w:pPr>
              <w:spacing w:before="100" w:beforeAutospacing="1" w:after="100" w:afterAutospacing="1"/>
              <w:ind w:right="95"/>
              <w:rPr>
                <w:rFonts w:ascii="Arial" w:hAnsi="Arial" w:cs="Arial"/>
              </w:rPr>
            </w:pPr>
            <w:r>
              <w:rPr>
                <w:rFonts w:ascii="Arial" w:hAnsi="Arial" w:cs="Arial"/>
              </w:rPr>
              <w:t>Specification</w:t>
            </w:r>
            <w:r w:rsidR="00B931E3" w:rsidRPr="00B931E3">
              <w:rPr>
                <w:rFonts w:ascii="Arial" w:hAnsi="Arial" w:cs="Arial"/>
              </w:rPr>
              <w:t xml:space="preserve"> dispatched</w:t>
            </w:r>
          </w:p>
        </w:tc>
        <w:tc>
          <w:tcPr>
            <w:tcW w:w="2642" w:type="dxa"/>
          </w:tcPr>
          <w:p w14:paraId="2C1551A9" w14:textId="202FE9DA" w:rsidR="00B931E3" w:rsidRPr="00B931E3" w:rsidRDefault="001D0BCA" w:rsidP="00164CAB">
            <w:pPr>
              <w:spacing w:before="100" w:beforeAutospacing="1" w:after="100" w:afterAutospacing="1"/>
              <w:ind w:right="95"/>
              <w:rPr>
                <w:rFonts w:ascii="Arial" w:hAnsi="Arial" w:cs="Arial"/>
              </w:rPr>
            </w:pPr>
            <w:r>
              <w:rPr>
                <w:rFonts w:ascii="Arial" w:hAnsi="Arial" w:cs="Arial"/>
              </w:rPr>
              <w:t>18</w:t>
            </w:r>
            <w:r w:rsidRPr="001D0BCA">
              <w:rPr>
                <w:rFonts w:ascii="Arial" w:hAnsi="Arial" w:cs="Arial"/>
                <w:vertAlign w:val="superscript"/>
              </w:rPr>
              <w:t>th</w:t>
            </w:r>
            <w:r>
              <w:rPr>
                <w:rFonts w:ascii="Arial" w:hAnsi="Arial" w:cs="Arial"/>
              </w:rPr>
              <w:t xml:space="preserve"> January 2022</w:t>
            </w:r>
          </w:p>
        </w:tc>
      </w:tr>
      <w:tr w:rsidR="001D0BCA" w:rsidRPr="00B931E3" w14:paraId="5FA00F3D" w14:textId="77777777" w:rsidTr="00384BB8">
        <w:tc>
          <w:tcPr>
            <w:tcW w:w="6374" w:type="dxa"/>
          </w:tcPr>
          <w:p w14:paraId="6B7A9BB1" w14:textId="7750FC08" w:rsidR="001D0BCA" w:rsidRDefault="001D0BCA" w:rsidP="00164CAB">
            <w:pPr>
              <w:spacing w:before="100" w:beforeAutospacing="1" w:after="100" w:afterAutospacing="1"/>
              <w:ind w:right="95"/>
              <w:rPr>
                <w:rFonts w:ascii="Arial" w:hAnsi="Arial" w:cs="Arial"/>
              </w:rPr>
            </w:pPr>
            <w:r>
              <w:rPr>
                <w:rFonts w:ascii="Arial" w:hAnsi="Arial" w:cs="Arial"/>
              </w:rPr>
              <w:t>Deadline for pre-tender questions</w:t>
            </w:r>
          </w:p>
        </w:tc>
        <w:tc>
          <w:tcPr>
            <w:tcW w:w="2642" w:type="dxa"/>
          </w:tcPr>
          <w:p w14:paraId="59B3BE80" w14:textId="2440BDE6" w:rsidR="001D0BCA" w:rsidRDefault="001D0BCA" w:rsidP="00164CAB">
            <w:pPr>
              <w:spacing w:before="100" w:beforeAutospacing="1" w:after="100" w:afterAutospacing="1"/>
              <w:ind w:right="95"/>
              <w:rPr>
                <w:rFonts w:ascii="Arial" w:hAnsi="Arial" w:cs="Arial"/>
              </w:rPr>
            </w:pPr>
            <w:r>
              <w:rPr>
                <w:rFonts w:ascii="Arial" w:hAnsi="Arial" w:cs="Arial"/>
              </w:rPr>
              <w:t>28</w:t>
            </w:r>
            <w:r w:rsidRPr="001D0BCA">
              <w:rPr>
                <w:rFonts w:ascii="Arial" w:hAnsi="Arial" w:cs="Arial"/>
                <w:vertAlign w:val="superscript"/>
              </w:rPr>
              <w:t>th</w:t>
            </w:r>
            <w:r>
              <w:rPr>
                <w:rFonts w:ascii="Arial" w:hAnsi="Arial" w:cs="Arial"/>
              </w:rPr>
              <w:t xml:space="preserve"> January 2022</w:t>
            </w:r>
          </w:p>
        </w:tc>
      </w:tr>
      <w:tr w:rsidR="00B931E3" w:rsidRPr="00B931E3" w14:paraId="40EE5C44" w14:textId="77777777" w:rsidTr="00384BB8">
        <w:tc>
          <w:tcPr>
            <w:tcW w:w="6374" w:type="dxa"/>
          </w:tcPr>
          <w:p w14:paraId="677CEBE3" w14:textId="41784BC1" w:rsidR="00B931E3" w:rsidRPr="00B931E3" w:rsidRDefault="00B55B20" w:rsidP="00164CAB">
            <w:pPr>
              <w:spacing w:before="100" w:beforeAutospacing="1" w:after="100" w:afterAutospacing="1"/>
              <w:ind w:right="95"/>
              <w:rPr>
                <w:rFonts w:ascii="Arial" w:hAnsi="Arial" w:cs="Arial"/>
              </w:rPr>
            </w:pPr>
            <w:r>
              <w:rPr>
                <w:rFonts w:ascii="Arial" w:hAnsi="Arial" w:cs="Arial"/>
              </w:rPr>
              <w:t>Bids</w:t>
            </w:r>
            <w:r w:rsidR="00B931E3" w:rsidRPr="00B931E3">
              <w:rPr>
                <w:rFonts w:ascii="Arial" w:hAnsi="Arial" w:cs="Arial"/>
              </w:rPr>
              <w:t xml:space="preserve"> returned</w:t>
            </w:r>
          </w:p>
        </w:tc>
        <w:tc>
          <w:tcPr>
            <w:tcW w:w="2642" w:type="dxa"/>
          </w:tcPr>
          <w:p w14:paraId="3E7245D9" w14:textId="7F08330F" w:rsidR="00B931E3" w:rsidRPr="00B931E3" w:rsidRDefault="00B931E3" w:rsidP="00164CAB">
            <w:pPr>
              <w:spacing w:before="100" w:beforeAutospacing="1" w:after="100" w:afterAutospacing="1"/>
              <w:ind w:right="95"/>
              <w:rPr>
                <w:rFonts w:ascii="Arial" w:hAnsi="Arial" w:cs="Arial"/>
              </w:rPr>
            </w:pPr>
            <w:r>
              <w:rPr>
                <w:rFonts w:ascii="Arial" w:hAnsi="Arial" w:cs="Arial"/>
              </w:rPr>
              <w:t xml:space="preserve">Noon </w:t>
            </w:r>
            <w:r w:rsidR="001D0BCA">
              <w:rPr>
                <w:rFonts w:ascii="Arial" w:hAnsi="Arial" w:cs="Arial"/>
              </w:rPr>
              <w:t>7</w:t>
            </w:r>
            <w:r w:rsidR="001D0BCA" w:rsidRPr="001D0BCA">
              <w:rPr>
                <w:rFonts w:ascii="Arial" w:hAnsi="Arial" w:cs="Arial"/>
                <w:vertAlign w:val="superscript"/>
              </w:rPr>
              <w:t>th</w:t>
            </w:r>
            <w:r w:rsidR="001D0BCA">
              <w:rPr>
                <w:rFonts w:ascii="Arial" w:hAnsi="Arial" w:cs="Arial"/>
              </w:rPr>
              <w:t xml:space="preserve"> February 2022</w:t>
            </w:r>
          </w:p>
        </w:tc>
      </w:tr>
      <w:tr w:rsidR="00B931E3" w:rsidRPr="00B931E3" w14:paraId="3A7BB1EE" w14:textId="77777777" w:rsidTr="00384BB8">
        <w:tc>
          <w:tcPr>
            <w:tcW w:w="6374" w:type="dxa"/>
          </w:tcPr>
          <w:p w14:paraId="48B1C9A0" w14:textId="77777777" w:rsidR="00B931E3" w:rsidRPr="00B931E3" w:rsidRDefault="00B931E3" w:rsidP="00164CAB">
            <w:pPr>
              <w:spacing w:before="100" w:beforeAutospacing="1" w:after="100" w:afterAutospacing="1"/>
              <w:ind w:right="95"/>
              <w:rPr>
                <w:rFonts w:ascii="Arial" w:hAnsi="Arial" w:cs="Arial"/>
              </w:rPr>
            </w:pPr>
            <w:r w:rsidRPr="00B931E3">
              <w:rPr>
                <w:rFonts w:ascii="Arial" w:hAnsi="Arial" w:cs="Arial"/>
              </w:rPr>
              <w:t>Inception meeting</w:t>
            </w:r>
          </w:p>
        </w:tc>
        <w:tc>
          <w:tcPr>
            <w:tcW w:w="2642" w:type="dxa"/>
          </w:tcPr>
          <w:p w14:paraId="6790D657" w14:textId="3C519699" w:rsidR="00B931E3" w:rsidRPr="00B931E3" w:rsidRDefault="006C31AF" w:rsidP="00164CAB">
            <w:pPr>
              <w:spacing w:before="100" w:beforeAutospacing="1" w:after="100" w:afterAutospacing="1"/>
              <w:ind w:right="95"/>
              <w:rPr>
                <w:rFonts w:ascii="Arial" w:hAnsi="Arial" w:cs="Arial"/>
              </w:rPr>
            </w:pPr>
            <w:r>
              <w:rPr>
                <w:rFonts w:ascii="Arial" w:hAnsi="Arial" w:cs="Arial"/>
              </w:rPr>
              <w:t>Mid-</w:t>
            </w:r>
            <w:r w:rsidR="004A174E">
              <w:rPr>
                <w:rFonts w:ascii="Arial" w:hAnsi="Arial" w:cs="Arial"/>
              </w:rPr>
              <w:t xml:space="preserve">February </w:t>
            </w:r>
            <w:r>
              <w:rPr>
                <w:rFonts w:ascii="Arial" w:hAnsi="Arial" w:cs="Arial"/>
              </w:rPr>
              <w:t>2022</w:t>
            </w:r>
          </w:p>
        </w:tc>
      </w:tr>
      <w:tr w:rsidR="00B931E3" w:rsidRPr="00B931E3" w14:paraId="4F435F6F" w14:textId="77777777" w:rsidTr="00384BB8">
        <w:trPr>
          <w:trHeight w:val="580"/>
        </w:trPr>
        <w:tc>
          <w:tcPr>
            <w:tcW w:w="6374" w:type="dxa"/>
          </w:tcPr>
          <w:p w14:paraId="3665C7A3" w14:textId="44604EF4" w:rsidR="00B931E3" w:rsidRPr="00B931E3" w:rsidRDefault="00B931E3" w:rsidP="00164CAB">
            <w:pPr>
              <w:spacing w:before="100" w:beforeAutospacing="1" w:after="100" w:afterAutospacing="1"/>
              <w:ind w:right="95"/>
              <w:rPr>
                <w:rFonts w:ascii="Arial" w:hAnsi="Arial" w:cs="Arial"/>
              </w:rPr>
            </w:pPr>
            <w:r w:rsidRPr="00B931E3">
              <w:rPr>
                <w:rFonts w:ascii="Arial" w:hAnsi="Arial" w:cs="Arial"/>
              </w:rPr>
              <w:t>Final</w:t>
            </w:r>
            <w:r w:rsidR="00D05995">
              <w:rPr>
                <w:rFonts w:ascii="Arial" w:hAnsi="Arial" w:cs="Arial"/>
              </w:rPr>
              <w:t>ise</w:t>
            </w:r>
            <w:r w:rsidRPr="00B931E3">
              <w:rPr>
                <w:rFonts w:ascii="Arial" w:hAnsi="Arial" w:cs="Arial"/>
              </w:rPr>
              <w:t xml:space="preserve"> </w:t>
            </w:r>
            <w:r w:rsidR="000851A8">
              <w:rPr>
                <w:rFonts w:ascii="Arial" w:hAnsi="Arial" w:cs="Arial"/>
              </w:rPr>
              <w:t xml:space="preserve">review process </w:t>
            </w:r>
            <w:r w:rsidRPr="00B931E3">
              <w:rPr>
                <w:rFonts w:ascii="Arial" w:hAnsi="Arial" w:cs="Arial"/>
              </w:rPr>
              <w:t>agreed including databases to be searched, search terms etc</w:t>
            </w:r>
          </w:p>
        </w:tc>
        <w:tc>
          <w:tcPr>
            <w:tcW w:w="2642" w:type="dxa"/>
          </w:tcPr>
          <w:p w14:paraId="79A87953" w14:textId="05697491" w:rsidR="00B931E3" w:rsidRPr="00B931E3" w:rsidRDefault="004A174E" w:rsidP="00164CAB">
            <w:pPr>
              <w:spacing w:before="100" w:beforeAutospacing="1" w:after="100" w:afterAutospacing="1"/>
              <w:ind w:right="95"/>
              <w:rPr>
                <w:rFonts w:ascii="Arial" w:hAnsi="Arial" w:cs="Arial"/>
              </w:rPr>
            </w:pPr>
            <w:r>
              <w:rPr>
                <w:rFonts w:ascii="Arial" w:hAnsi="Arial" w:cs="Arial"/>
              </w:rPr>
              <w:t>By end February 2022</w:t>
            </w:r>
          </w:p>
        </w:tc>
      </w:tr>
      <w:tr w:rsidR="00F20CDC" w:rsidRPr="00B931E3" w14:paraId="106515FE" w14:textId="77777777" w:rsidTr="00F20CDC">
        <w:trPr>
          <w:trHeight w:val="254"/>
        </w:trPr>
        <w:tc>
          <w:tcPr>
            <w:tcW w:w="6374" w:type="dxa"/>
          </w:tcPr>
          <w:p w14:paraId="66FE007E" w14:textId="5C2E40F6" w:rsidR="00F20CDC" w:rsidRPr="00B931E3" w:rsidRDefault="00F20CDC" w:rsidP="00164CAB">
            <w:pPr>
              <w:spacing w:before="100" w:beforeAutospacing="1" w:after="100" w:afterAutospacing="1"/>
              <w:ind w:right="95"/>
              <w:rPr>
                <w:rFonts w:ascii="Arial" w:hAnsi="Arial" w:cs="Arial"/>
              </w:rPr>
            </w:pPr>
            <w:r>
              <w:rPr>
                <w:rFonts w:ascii="Arial" w:hAnsi="Arial" w:cs="Arial"/>
              </w:rPr>
              <w:t>Interim findings submitted</w:t>
            </w:r>
          </w:p>
        </w:tc>
        <w:tc>
          <w:tcPr>
            <w:tcW w:w="2642" w:type="dxa"/>
          </w:tcPr>
          <w:p w14:paraId="3965C5E1" w14:textId="5E1C3AF9" w:rsidR="00F20CDC" w:rsidRDefault="00F20CDC" w:rsidP="00164CAB">
            <w:pPr>
              <w:spacing w:before="100" w:beforeAutospacing="1" w:after="100" w:afterAutospacing="1"/>
              <w:ind w:right="95"/>
              <w:rPr>
                <w:rFonts w:ascii="Arial" w:hAnsi="Arial" w:cs="Arial"/>
              </w:rPr>
            </w:pPr>
            <w:r>
              <w:rPr>
                <w:rFonts w:ascii="Arial" w:hAnsi="Arial" w:cs="Arial"/>
              </w:rPr>
              <w:t>End March 2022</w:t>
            </w:r>
          </w:p>
        </w:tc>
      </w:tr>
      <w:tr w:rsidR="00B931E3" w:rsidRPr="00B931E3" w14:paraId="53218E5C" w14:textId="77777777" w:rsidTr="00384BB8">
        <w:tc>
          <w:tcPr>
            <w:tcW w:w="6374" w:type="dxa"/>
          </w:tcPr>
          <w:p w14:paraId="66B10FF2" w14:textId="77777777" w:rsidR="00B931E3" w:rsidRPr="00B931E3" w:rsidRDefault="00B931E3" w:rsidP="00164CAB">
            <w:pPr>
              <w:spacing w:before="100" w:beforeAutospacing="1" w:after="100" w:afterAutospacing="1"/>
              <w:ind w:right="95"/>
              <w:rPr>
                <w:rFonts w:ascii="Arial" w:hAnsi="Arial" w:cs="Arial"/>
              </w:rPr>
            </w:pPr>
            <w:r w:rsidRPr="00B931E3">
              <w:rPr>
                <w:rFonts w:ascii="Arial" w:hAnsi="Arial" w:cs="Arial"/>
              </w:rPr>
              <w:t>Draft report submitted to OSC</w:t>
            </w:r>
          </w:p>
        </w:tc>
        <w:tc>
          <w:tcPr>
            <w:tcW w:w="2642" w:type="dxa"/>
          </w:tcPr>
          <w:p w14:paraId="31BDA2F6" w14:textId="1B1FFA01" w:rsidR="00B931E3" w:rsidRPr="00B931E3" w:rsidRDefault="00F20CDC" w:rsidP="00164CAB">
            <w:pPr>
              <w:spacing w:before="100" w:beforeAutospacing="1" w:after="100" w:afterAutospacing="1"/>
              <w:ind w:right="95"/>
              <w:rPr>
                <w:rFonts w:ascii="Arial" w:hAnsi="Arial" w:cs="Arial"/>
              </w:rPr>
            </w:pPr>
            <w:r>
              <w:rPr>
                <w:rFonts w:ascii="Arial" w:hAnsi="Arial" w:cs="Arial"/>
              </w:rPr>
              <w:t>Mid May</w:t>
            </w:r>
            <w:r w:rsidR="00B931E3" w:rsidRPr="00B931E3">
              <w:rPr>
                <w:rFonts w:ascii="Arial" w:hAnsi="Arial" w:cs="Arial"/>
              </w:rPr>
              <w:t xml:space="preserve"> 2022</w:t>
            </w:r>
          </w:p>
        </w:tc>
      </w:tr>
      <w:tr w:rsidR="00B931E3" w:rsidRPr="00B931E3" w14:paraId="5CA191EE" w14:textId="77777777" w:rsidTr="00384BB8">
        <w:tc>
          <w:tcPr>
            <w:tcW w:w="6374" w:type="dxa"/>
          </w:tcPr>
          <w:p w14:paraId="495F34D7" w14:textId="263D0D56" w:rsidR="00B931E3" w:rsidRPr="00B931E3" w:rsidRDefault="00C01E7C" w:rsidP="00164CAB">
            <w:pPr>
              <w:spacing w:before="100" w:beforeAutospacing="1" w:after="100" w:afterAutospacing="1"/>
              <w:ind w:right="95"/>
              <w:rPr>
                <w:rFonts w:ascii="Arial" w:hAnsi="Arial" w:cs="Arial"/>
              </w:rPr>
            </w:pPr>
            <w:r>
              <w:rPr>
                <w:rFonts w:ascii="Arial" w:hAnsi="Arial" w:cs="Arial"/>
              </w:rPr>
              <w:t>Final slide pack submitted and f</w:t>
            </w:r>
            <w:r w:rsidR="00B931E3" w:rsidRPr="00B931E3">
              <w:rPr>
                <w:rFonts w:ascii="Arial" w:hAnsi="Arial" w:cs="Arial"/>
              </w:rPr>
              <w:t>inal report signed off</w:t>
            </w:r>
          </w:p>
        </w:tc>
        <w:tc>
          <w:tcPr>
            <w:tcW w:w="2642" w:type="dxa"/>
          </w:tcPr>
          <w:p w14:paraId="647AF8A4" w14:textId="4ABCE13C" w:rsidR="00B931E3" w:rsidRPr="00B931E3" w:rsidRDefault="000851A8" w:rsidP="00164CAB">
            <w:pPr>
              <w:spacing w:before="100" w:beforeAutospacing="1" w:after="100" w:afterAutospacing="1"/>
              <w:ind w:right="95"/>
              <w:rPr>
                <w:rFonts w:ascii="Arial" w:hAnsi="Arial" w:cs="Arial"/>
              </w:rPr>
            </w:pPr>
            <w:r>
              <w:rPr>
                <w:rFonts w:ascii="Arial" w:hAnsi="Arial" w:cs="Arial"/>
              </w:rPr>
              <w:t>End</w:t>
            </w:r>
            <w:r w:rsidR="00B931E3" w:rsidRPr="00B931E3">
              <w:rPr>
                <w:rFonts w:ascii="Arial" w:hAnsi="Arial" w:cs="Arial"/>
              </w:rPr>
              <w:t xml:space="preserve"> </w:t>
            </w:r>
            <w:r w:rsidR="00F20CDC">
              <w:rPr>
                <w:rFonts w:ascii="Arial" w:hAnsi="Arial" w:cs="Arial"/>
              </w:rPr>
              <w:t xml:space="preserve">June </w:t>
            </w:r>
            <w:r w:rsidR="00B931E3" w:rsidRPr="00B931E3">
              <w:rPr>
                <w:rFonts w:ascii="Arial" w:hAnsi="Arial" w:cs="Arial"/>
              </w:rPr>
              <w:t>2022</w:t>
            </w:r>
          </w:p>
        </w:tc>
      </w:tr>
    </w:tbl>
    <w:p w14:paraId="0CAB871E" w14:textId="77777777" w:rsidR="00923391" w:rsidRPr="0070204A" w:rsidRDefault="00923391" w:rsidP="00164CAB">
      <w:pPr>
        <w:ind w:right="95"/>
        <w:rPr>
          <w:rFonts w:ascii="Arial" w:hAnsi="Arial" w:cs="Arial"/>
        </w:rPr>
      </w:pPr>
    </w:p>
    <w:p w14:paraId="1A34334F" w14:textId="036EC5AF" w:rsidR="00923391" w:rsidRPr="0070204A" w:rsidRDefault="00923391" w:rsidP="00164CAB">
      <w:pPr>
        <w:ind w:right="95"/>
        <w:rPr>
          <w:rFonts w:ascii="Arial" w:hAnsi="Arial" w:cs="Arial"/>
        </w:rPr>
      </w:pPr>
      <w:r w:rsidRPr="0070204A">
        <w:rPr>
          <w:rFonts w:ascii="Arial" w:hAnsi="Arial" w:cs="Arial"/>
        </w:rPr>
        <w:t>6.2</w:t>
      </w:r>
      <w:r w:rsidRPr="0070204A">
        <w:rPr>
          <w:rFonts w:ascii="Arial" w:hAnsi="Arial" w:cs="Arial"/>
        </w:rPr>
        <w:tab/>
        <w:t>At the discretion of the Office of the Sentencing Council, presentations for clarification purposes may be requested</w:t>
      </w:r>
      <w:r w:rsidR="00E25B03">
        <w:rPr>
          <w:rFonts w:ascii="Arial" w:hAnsi="Arial" w:cs="Arial"/>
        </w:rPr>
        <w:t xml:space="preserve"> </w:t>
      </w:r>
      <w:r w:rsidRPr="0070204A">
        <w:rPr>
          <w:rFonts w:ascii="Arial" w:hAnsi="Arial" w:cs="Arial"/>
        </w:rPr>
        <w:t xml:space="preserve">with shortlisted bidders. </w:t>
      </w:r>
      <w:r w:rsidR="00E25B03">
        <w:rPr>
          <w:rFonts w:ascii="Arial" w:hAnsi="Arial" w:cs="Arial"/>
        </w:rPr>
        <w:t xml:space="preserve">If needed, these will be held virtually, via MS Teams. </w:t>
      </w:r>
      <w:r w:rsidRPr="0070204A">
        <w:rPr>
          <w:rFonts w:ascii="Arial" w:hAnsi="Arial" w:cs="Arial"/>
        </w:rPr>
        <w:t>If appropriate, scores may be moderated based on the clarification information from the presentation.</w:t>
      </w:r>
    </w:p>
    <w:p w14:paraId="5FA10AE1" w14:textId="7B186BF5" w:rsidR="00923391" w:rsidRPr="00923391" w:rsidRDefault="00923391" w:rsidP="00164CAB">
      <w:pPr>
        <w:ind w:right="95"/>
        <w:rPr>
          <w:rFonts w:ascii="Arial" w:hAnsi="Arial" w:cs="Arial"/>
          <w:b/>
        </w:rPr>
      </w:pPr>
      <w:r w:rsidRPr="00923391">
        <w:rPr>
          <w:rFonts w:ascii="Arial" w:hAnsi="Arial" w:cs="Arial"/>
        </w:rPr>
        <w:t>6.3</w:t>
      </w:r>
      <w:r w:rsidRPr="00923391">
        <w:rPr>
          <w:rFonts w:ascii="Arial" w:hAnsi="Arial" w:cs="Arial"/>
        </w:rPr>
        <w:tab/>
        <w:t xml:space="preserve">A contract will be awarded as soon as possible after the presentation to enable contractors to start work </w:t>
      </w:r>
      <w:r w:rsidR="006C31AF">
        <w:rPr>
          <w:rFonts w:ascii="Arial" w:hAnsi="Arial" w:cs="Arial"/>
        </w:rPr>
        <w:t xml:space="preserve">in February </w:t>
      </w:r>
      <w:r w:rsidRPr="00923391">
        <w:rPr>
          <w:rFonts w:ascii="Arial" w:hAnsi="Arial" w:cs="Arial"/>
        </w:rPr>
        <w:t xml:space="preserve">2022. </w:t>
      </w:r>
    </w:p>
    <w:p w14:paraId="57718364" w14:textId="77777777" w:rsidR="00923391" w:rsidRPr="00923391" w:rsidRDefault="00923391" w:rsidP="00164CAB">
      <w:pPr>
        <w:ind w:left="720" w:right="95" w:hanging="720"/>
        <w:rPr>
          <w:rFonts w:ascii="Arial" w:hAnsi="Arial" w:cs="Arial"/>
        </w:rPr>
      </w:pPr>
      <w:r w:rsidRPr="00923391">
        <w:rPr>
          <w:rFonts w:ascii="Arial" w:hAnsi="Arial" w:cs="Arial"/>
        </w:rPr>
        <w:t>6.4</w:t>
      </w:r>
      <w:r w:rsidRPr="00923391">
        <w:rPr>
          <w:rFonts w:ascii="Arial" w:hAnsi="Arial" w:cs="Arial"/>
        </w:rPr>
        <w:tab/>
        <w:t>Suggested milestone payments are set out below:</w:t>
      </w:r>
    </w:p>
    <w:tbl>
      <w:tblPr>
        <w:tblStyle w:val="TableGrid"/>
        <w:tblW w:w="8931" w:type="dxa"/>
        <w:tblInd w:w="-5" w:type="dxa"/>
        <w:tblLook w:val="01E0" w:firstRow="1" w:lastRow="1" w:firstColumn="1" w:lastColumn="1" w:noHBand="0" w:noVBand="0"/>
      </w:tblPr>
      <w:tblGrid>
        <w:gridCol w:w="6096"/>
        <w:gridCol w:w="2835"/>
      </w:tblGrid>
      <w:tr w:rsidR="00923391" w:rsidRPr="00923391" w14:paraId="10CEBB8F" w14:textId="77777777" w:rsidTr="00164CAB">
        <w:tc>
          <w:tcPr>
            <w:tcW w:w="6096" w:type="dxa"/>
          </w:tcPr>
          <w:p w14:paraId="4815C471" w14:textId="26770AE1" w:rsidR="00923391" w:rsidRPr="00923391" w:rsidRDefault="00923391" w:rsidP="00164CAB">
            <w:pPr>
              <w:ind w:right="95"/>
              <w:rPr>
                <w:rFonts w:ascii="Arial" w:hAnsi="Arial" w:cs="Arial"/>
                <w:sz w:val="22"/>
                <w:szCs w:val="22"/>
              </w:rPr>
            </w:pPr>
            <w:r w:rsidRPr="00923391">
              <w:rPr>
                <w:rFonts w:ascii="Arial" w:hAnsi="Arial" w:cs="Arial"/>
                <w:sz w:val="22"/>
                <w:szCs w:val="22"/>
              </w:rPr>
              <w:t xml:space="preserve">Milestone payment 1: </w:t>
            </w:r>
            <w:r w:rsidR="000851A8">
              <w:rPr>
                <w:rFonts w:ascii="Arial" w:hAnsi="Arial" w:cs="Arial"/>
                <w:sz w:val="22"/>
                <w:szCs w:val="22"/>
              </w:rPr>
              <w:t>(</w:t>
            </w:r>
            <w:r w:rsidR="00164CAB">
              <w:rPr>
                <w:rFonts w:ascii="Arial" w:hAnsi="Arial" w:cs="Arial"/>
                <w:sz w:val="22"/>
                <w:szCs w:val="22"/>
              </w:rPr>
              <w:t>2</w:t>
            </w:r>
            <w:r w:rsidR="00C01E7C">
              <w:rPr>
                <w:rFonts w:ascii="Arial" w:hAnsi="Arial" w:cs="Arial"/>
                <w:sz w:val="22"/>
                <w:szCs w:val="22"/>
              </w:rPr>
              <w:t>5</w:t>
            </w:r>
            <w:r w:rsidR="000851A8">
              <w:rPr>
                <w:rFonts w:ascii="Arial" w:hAnsi="Arial" w:cs="Arial"/>
                <w:sz w:val="22"/>
                <w:szCs w:val="22"/>
              </w:rPr>
              <w:t>%)</w:t>
            </w:r>
          </w:p>
          <w:p w14:paraId="061DF387" w14:textId="48408AE3" w:rsidR="00923391" w:rsidRPr="00923391" w:rsidRDefault="00923391" w:rsidP="00164CAB">
            <w:pPr>
              <w:ind w:right="95"/>
              <w:rPr>
                <w:rFonts w:ascii="Arial" w:hAnsi="Arial" w:cs="Arial"/>
                <w:sz w:val="22"/>
                <w:szCs w:val="22"/>
              </w:rPr>
            </w:pPr>
            <w:r w:rsidRPr="00923391">
              <w:rPr>
                <w:rFonts w:ascii="Arial" w:hAnsi="Arial" w:cs="Arial"/>
                <w:sz w:val="22"/>
                <w:szCs w:val="22"/>
              </w:rPr>
              <w:t xml:space="preserve">Research design and </w:t>
            </w:r>
            <w:r w:rsidR="00886B47">
              <w:rPr>
                <w:rFonts w:ascii="Arial" w:hAnsi="Arial" w:cs="Arial"/>
                <w:sz w:val="22"/>
                <w:szCs w:val="22"/>
              </w:rPr>
              <w:t>scope of review agreed</w:t>
            </w:r>
          </w:p>
        </w:tc>
        <w:tc>
          <w:tcPr>
            <w:tcW w:w="2835" w:type="dxa"/>
          </w:tcPr>
          <w:p w14:paraId="461438AA" w14:textId="7B91EAB0" w:rsidR="00923391" w:rsidRPr="00923391" w:rsidRDefault="00D05995" w:rsidP="00164CAB">
            <w:pPr>
              <w:ind w:right="95"/>
              <w:rPr>
                <w:rFonts w:ascii="Arial" w:hAnsi="Arial" w:cs="Arial"/>
                <w:sz w:val="22"/>
                <w:szCs w:val="22"/>
              </w:rPr>
            </w:pPr>
            <w:r>
              <w:rPr>
                <w:rFonts w:ascii="Arial" w:hAnsi="Arial" w:cs="Arial"/>
                <w:sz w:val="22"/>
                <w:szCs w:val="22"/>
              </w:rPr>
              <w:t>E</w:t>
            </w:r>
            <w:r w:rsidR="00C01E7C">
              <w:rPr>
                <w:rFonts w:ascii="Arial" w:hAnsi="Arial" w:cs="Arial"/>
                <w:sz w:val="22"/>
                <w:szCs w:val="22"/>
              </w:rPr>
              <w:t>nd</w:t>
            </w:r>
            <w:r>
              <w:rPr>
                <w:rFonts w:ascii="Arial" w:hAnsi="Arial" w:cs="Arial"/>
                <w:sz w:val="22"/>
                <w:szCs w:val="22"/>
              </w:rPr>
              <w:t xml:space="preserve"> </w:t>
            </w:r>
            <w:r w:rsidR="00923391" w:rsidRPr="00923391">
              <w:rPr>
                <w:rFonts w:ascii="Arial" w:hAnsi="Arial" w:cs="Arial"/>
                <w:sz w:val="22"/>
                <w:szCs w:val="22"/>
              </w:rPr>
              <w:t>February 2022</w:t>
            </w:r>
          </w:p>
        </w:tc>
      </w:tr>
      <w:tr w:rsidR="00C01E7C" w:rsidRPr="00923391" w14:paraId="03D16785" w14:textId="77777777" w:rsidTr="00164CAB">
        <w:tc>
          <w:tcPr>
            <w:tcW w:w="6096" w:type="dxa"/>
          </w:tcPr>
          <w:p w14:paraId="44B192E2" w14:textId="77777777" w:rsidR="00C01E7C" w:rsidRPr="00C01E7C" w:rsidRDefault="00C01E7C" w:rsidP="00164CAB">
            <w:pPr>
              <w:ind w:right="95"/>
              <w:rPr>
                <w:rFonts w:ascii="Arial" w:hAnsi="Arial" w:cs="Arial"/>
                <w:sz w:val="22"/>
                <w:szCs w:val="22"/>
              </w:rPr>
            </w:pPr>
            <w:r w:rsidRPr="00C01E7C">
              <w:rPr>
                <w:rFonts w:ascii="Arial" w:hAnsi="Arial" w:cs="Arial"/>
                <w:sz w:val="22"/>
                <w:szCs w:val="22"/>
              </w:rPr>
              <w:t>Milestone payment 2: (35%)</w:t>
            </w:r>
          </w:p>
          <w:p w14:paraId="67C8ED43" w14:textId="7243B5DA" w:rsidR="00C01E7C" w:rsidRPr="00C01E7C" w:rsidRDefault="00C01E7C" w:rsidP="00164CAB">
            <w:pPr>
              <w:ind w:right="95"/>
              <w:rPr>
                <w:rFonts w:ascii="Arial" w:hAnsi="Arial" w:cs="Arial"/>
                <w:sz w:val="22"/>
                <w:szCs w:val="22"/>
              </w:rPr>
            </w:pPr>
            <w:r w:rsidRPr="00C01E7C">
              <w:rPr>
                <w:rFonts w:ascii="Arial" w:hAnsi="Arial" w:cs="Arial"/>
                <w:sz w:val="22"/>
                <w:szCs w:val="22"/>
              </w:rPr>
              <w:t>Submission of interim report</w:t>
            </w:r>
          </w:p>
        </w:tc>
        <w:tc>
          <w:tcPr>
            <w:tcW w:w="2835" w:type="dxa"/>
          </w:tcPr>
          <w:p w14:paraId="22431D8D" w14:textId="20ED1D45" w:rsidR="00C01E7C" w:rsidRPr="00C01E7C" w:rsidRDefault="00C01E7C" w:rsidP="00164CAB">
            <w:pPr>
              <w:ind w:right="95"/>
              <w:rPr>
                <w:rFonts w:ascii="Arial" w:hAnsi="Arial" w:cs="Arial"/>
                <w:sz w:val="22"/>
                <w:szCs w:val="22"/>
              </w:rPr>
            </w:pPr>
            <w:r w:rsidRPr="00C01E7C">
              <w:rPr>
                <w:rFonts w:ascii="Arial" w:hAnsi="Arial" w:cs="Arial"/>
                <w:sz w:val="22"/>
                <w:szCs w:val="22"/>
              </w:rPr>
              <w:t>End March 2022</w:t>
            </w:r>
          </w:p>
        </w:tc>
      </w:tr>
      <w:tr w:rsidR="00164CAB" w:rsidRPr="00923391" w14:paraId="413DE375" w14:textId="77777777" w:rsidTr="00164CAB">
        <w:tc>
          <w:tcPr>
            <w:tcW w:w="6096" w:type="dxa"/>
          </w:tcPr>
          <w:p w14:paraId="10F044CD" w14:textId="5474FA54" w:rsidR="00164CAB" w:rsidRPr="00164CAB" w:rsidRDefault="00164CAB" w:rsidP="00164CAB">
            <w:pPr>
              <w:ind w:right="95"/>
              <w:rPr>
                <w:rFonts w:ascii="Arial" w:hAnsi="Arial" w:cs="Arial"/>
                <w:sz w:val="22"/>
                <w:szCs w:val="22"/>
              </w:rPr>
            </w:pPr>
            <w:r w:rsidRPr="00164CAB">
              <w:rPr>
                <w:rFonts w:ascii="Arial" w:hAnsi="Arial" w:cs="Arial"/>
                <w:sz w:val="22"/>
                <w:szCs w:val="22"/>
              </w:rPr>
              <w:t>Milestone payment 2:</w:t>
            </w:r>
            <w:r>
              <w:rPr>
                <w:rFonts w:ascii="Arial" w:hAnsi="Arial" w:cs="Arial"/>
                <w:sz w:val="22"/>
                <w:szCs w:val="22"/>
              </w:rPr>
              <w:t xml:space="preserve"> (</w:t>
            </w:r>
            <w:r w:rsidR="00C01E7C">
              <w:rPr>
                <w:rFonts w:ascii="Arial" w:hAnsi="Arial" w:cs="Arial"/>
                <w:sz w:val="22"/>
                <w:szCs w:val="22"/>
              </w:rPr>
              <w:t>20</w:t>
            </w:r>
            <w:r>
              <w:rPr>
                <w:rFonts w:ascii="Arial" w:hAnsi="Arial" w:cs="Arial"/>
                <w:sz w:val="22"/>
                <w:szCs w:val="22"/>
              </w:rPr>
              <w:t>%)</w:t>
            </w:r>
          </w:p>
          <w:p w14:paraId="36E775A2" w14:textId="4BEF89C3" w:rsidR="00164CAB" w:rsidRPr="00164CAB" w:rsidRDefault="00164CAB" w:rsidP="00164CAB">
            <w:pPr>
              <w:ind w:right="95"/>
              <w:rPr>
                <w:rFonts w:ascii="Arial" w:hAnsi="Arial" w:cs="Arial"/>
                <w:sz w:val="22"/>
                <w:szCs w:val="22"/>
              </w:rPr>
            </w:pPr>
            <w:r w:rsidRPr="00164CAB">
              <w:rPr>
                <w:rFonts w:ascii="Arial" w:hAnsi="Arial" w:cs="Arial"/>
                <w:sz w:val="22"/>
                <w:szCs w:val="22"/>
              </w:rPr>
              <w:t xml:space="preserve">Submission of draft </w:t>
            </w:r>
            <w:r w:rsidR="00C01E7C">
              <w:rPr>
                <w:rFonts w:ascii="Arial" w:hAnsi="Arial" w:cs="Arial"/>
                <w:sz w:val="22"/>
                <w:szCs w:val="22"/>
              </w:rPr>
              <w:t xml:space="preserve">final </w:t>
            </w:r>
            <w:r w:rsidRPr="00164CAB">
              <w:rPr>
                <w:rFonts w:ascii="Arial" w:hAnsi="Arial" w:cs="Arial"/>
                <w:sz w:val="22"/>
                <w:szCs w:val="22"/>
              </w:rPr>
              <w:t>report</w:t>
            </w:r>
          </w:p>
        </w:tc>
        <w:tc>
          <w:tcPr>
            <w:tcW w:w="2835" w:type="dxa"/>
          </w:tcPr>
          <w:p w14:paraId="6898994C" w14:textId="72BD9F86" w:rsidR="00164CAB" w:rsidRPr="00164CAB" w:rsidRDefault="00164CAB" w:rsidP="00164CAB">
            <w:pPr>
              <w:ind w:right="95"/>
              <w:rPr>
                <w:rFonts w:ascii="Arial" w:hAnsi="Arial" w:cs="Arial"/>
                <w:sz w:val="22"/>
                <w:szCs w:val="22"/>
              </w:rPr>
            </w:pPr>
            <w:r w:rsidRPr="00164CAB">
              <w:rPr>
                <w:rFonts w:ascii="Arial" w:hAnsi="Arial" w:cs="Arial"/>
                <w:sz w:val="22"/>
                <w:szCs w:val="22"/>
              </w:rPr>
              <w:t>Mid</w:t>
            </w:r>
            <w:r w:rsidR="00D05995">
              <w:rPr>
                <w:rFonts w:ascii="Arial" w:hAnsi="Arial" w:cs="Arial"/>
                <w:sz w:val="22"/>
                <w:szCs w:val="22"/>
              </w:rPr>
              <w:t>-</w:t>
            </w:r>
            <w:r w:rsidRPr="00164CAB">
              <w:rPr>
                <w:rFonts w:ascii="Arial" w:hAnsi="Arial" w:cs="Arial"/>
                <w:sz w:val="22"/>
                <w:szCs w:val="22"/>
              </w:rPr>
              <w:t>Ma</w:t>
            </w:r>
            <w:r w:rsidR="00C01E7C">
              <w:rPr>
                <w:rFonts w:ascii="Arial" w:hAnsi="Arial" w:cs="Arial"/>
                <w:sz w:val="22"/>
                <w:szCs w:val="22"/>
              </w:rPr>
              <w:t>y</w:t>
            </w:r>
            <w:r w:rsidRPr="00164CAB">
              <w:rPr>
                <w:rFonts w:ascii="Arial" w:hAnsi="Arial" w:cs="Arial"/>
                <w:sz w:val="22"/>
                <w:szCs w:val="22"/>
              </w:rPr>
              <w:t xml:space="preserve"> 2022</w:t>
            </w:r>
          </w:p>
        </w:tc>
      </w:tr>
      <w:tr w:rsidR="00923391" w:rsidRPr="00923391" w14:paraId="25298155" w14:textId="77777777" w:rsidTr="00164CAB">
        <w:tc>
          <w:tcPr>
            <w:tcW w:w="6096" w:type="dxa"/>
          </w:tcPr>
          <w:p w14:paraId="6EABEB6D" w14:textId="5DAC6AF8" w:rsidR="00923391" w:rsidRPr="00923391" w:rsidRDefault="00923391" w:rsidP="00164CAB">
            <w:pPr>
              <w:ind w:right="95"/>
              <w:rPr>
                <w:rFonts w:ascii="Arial" w:hAnsi="Arial" w:cs="Arial"/>
                <w:sz w:val="22"/>
                <w:szCs w:val="22"/>
              </w:rPr>
            </w:pPr>
            <w:r w:rsidRPr="00923391">
              <w:rPr>
                <w:rFonts w:ascii="Arial" w:hAnsi="Arial" w:cs="Arial"/>
                <w:sz w:val="22"/>
                <w:szCs w:val="22"/>
              </w:rPr>
              <w:t xml:space="preserve">Milestone payment </w:t>
            </w:r>
            <w:r w:rsidR="00886B47">
              <w:rPr>
                <w:rFonts w:ascii="Arial" w:hAnsi="Arial" w:cs="Arial"/>
                <w:sz w:val="22"/>
                <w:szCs w:val="22"/>
              </w:rPr>
              <w:t>3</w:t>
            </w:r>
            <w:r w:rsidRPr="00923391">
              <w:rPr>
                <w:rFonts w:ascii="Arial" w:hAnsi="Arial" w:cs="Arial"/>
                <w:sz w:val="22"/>
                <w:szCs w:val="22"/>
              </w:rPr>
              <w:t>: (</w:t>
            </w:r>
            <w:r w:rsidR="00C01E7C">
              <w:rPr>
                <w:rFonts w:ascii="Arial" w:hAnsi="Arial" w:cs="Arial"/>
                <w:sz w:val="22"/>
                <w:szCs w:val="22"/>
              </w:rPr>
              <w:t>20</w:t>
            </w:r>
            <w:r w:rsidRPr="00923391">
              <w:rPr>
                <w:rFonts w:ascii="Arial" w:hAnsi="Arial" w:cs="Arial"/>
                <w:sz w:val="22"/>
                <w:szCs w:val="22"/>
              </w:rPr>
              <w:t>%)</w:t>
            </w:r>
          </w:p>
          <w:p w14:paraId="5473964E" w14:textId="4A6BE3CA" w:rsidR="00923391" w:rsidRPr="00923391" w:rsidRDefault="00923391" w:rsidP="00164CAB">
            <w:pPr>
              <w:ind w:right="95"/>
              <w:rPr>
                <w:rFonts w:ascii="Arial" w:hAnsi="Arial" w:cs="Arial"/>
                <w:sz w:val="22"/>
                <w:szCs w:val="22"/>
              </w:rPr>
            </w:pPr>
            <w:r w:rsidRPr="00923391">
              <w:rPr>
                <w:rFonts w:ascii="Arial" w:hAnsi="Arial" w:cs="Arial"/>
                <w:sz w:val="22"/>
                <w:szCs w:val="22"/>
              </w:rPr>
              <w:t>Approval of final report</w:t>
            </w:r>
            <w:r w:rsidR="00886B47">
              <w:rPr>
                <w:rFonts w:ascii="Arial" w:hAnsi="Arial" w:cs="Arial"/>
                <w:sz w:val="22"/>
                <w:szCs w:val="22"/>
              </w:rPr>
              <w:t xml:space="preserve"> and slide pack</w:t>
            </w:r>
            <w:r w:rsidRPr="00923391">
              <w:rPr>
                <w:rFonts w:ascii="Arial" w:hAnsi="Arial" w:cs="Arial"/>
                <w:sz w:val="22"/>
                <w:szCs w:val="22"/>
              </w:rPr>
              <w:t xml:space="preserve"> </w:t>
            </w:r>
          </w:p>
        </w:tc>
        <w:tc>
          <w:tcPr>
            <w:tcW w:w="2835" w:type="dxa"/>
          </w:tcPr>
          <w:p w14:paraId="715A02C7" w14:textId="49301BE0" w:rsidR="00923391" w:rsidRPr="00923391" w:rsidRDefault="000851A8" w:rsidP="00164CAB">
            <w:pPr>
              <w:ind w:right="95"/>
              <w:rPr>
                <w:rFonts w:ascii="Arial" w:hAnsi="Arial" w:cs="Arial"/>
                <w:sz w:val="22"/>
                <w:szCs w:val="22"/>
              </w:rPr>
            </w:pPr>
            <w:r>
              <w:rPr>
                <w:rFonts w:ascii="Arial" w:hAnsi="Arial" w:cs="Arial"/>
                <w:sz w:val="22"/>
                <w:szCs w:val="22"/>
              </w:rPr>
              <w:t>E</w:t>
            </w:r>
            <w:r w:rsidR="00923391" w:rsidRPr="00923391">
              <w:rPr>
                <w:rFonts w:ascii="Arial" w:hAnsi="Arial" w:cs="Arial"/>
                <w:sz w:val="22"/>
                <w:szCs w:val="22"/>
              </w:rPr>
              <w:t xml:space="preserve">nd </w:t>
            </w:r>
            <w:r w:rsidR="00C01E7C">
              <w:rPr>
                <w:rFonts w:ascii="Arial" w:hAnsi="Arial" w:cs="Arial"/>
                <w:sz w:val="22"/>
                <w:szCs w:val="22"/>
              </w:rPr>
              <w:t>June</w:t>
            </w:r>
            <w:r w:rsidR="00923391" w:rsidRPr="00923391">
              <w:rPr>
                <w:rFonts w:ascii="Arial" w:hAnsi="Arial" w:cs="Arial"/>
                <w:sz w:val="22"/>
                <w:szCs w:val="22"/>
              </w:rPr>
              <w:t xml:space="preserve"> 2022</w:t>
            </w:r>
          </w:p>
        </w:tc>
      </w:tr>
    </w:tbl>
    <w:p w14:paraId="4EF8BD9F" w14:textId="77777777" w:rsidR="00923391" w:rsidRPr="00923391" w:rsidRDefault="00923391" w:rsidP="00164CAB">
      <w:pPr>
        <w:ind w:right="95"/>
        <w:rPr>
          <w:rFonts w:ascii="Arial" w:hAnsi="Arial" w:cs="Arial"/>
          <w:highlight w:val="yellow"/>
        </w:rPr>
      </w:pPr>
    </w:p>
    <w:p w14:paraId="378F57A7" w14:textId="77777777" w:rsidR="00923391" w:rsidRPr="00923391" w:rsidRDefault="00923391" w:rsidP="00164CAB">
      <w:pPr>
        <w:ind w:left="720" w:right="95" w:hanging="720"/>
        <w:rPr>
          <w:rFonts w:ascii="Arial" w:hAnsi="Arial" w:cs="Arial"/>
          <w:b/>
        </w:rPr>
      </w:pPr>
      <w:r w:rsidRPr="00923391">
        <w:rPr>
          <w:rFonts w:ascii="Arial" w:hAnsi="Arial" w:cs="Arial"/>
          <w:b/>
        </w:rPr>
        <w:t>8.</w:t>
      </w:r>
      <w:r w:rsidRPr="00923391">
        <w:rPr>
          <w:rFonts w:ascii="Arial" w:hAnsi="Arial" w:cs="Arial"/>
          <w:b/>
        </w:rPr>
        <w:tab/>
        <w:t>Content of proposals</w:t>
      </w:r>
    </w:p>
    <w:p w14:paraId="6F0F0841" w14:textId="25554C88" w:rsidR="00923391" w:rsidRPr="00923391" w:rsidRDefault="00923391" w:rsidP="00164CAB">
      <w:pPr>
        <w:ind w:left="720" w:right="95" w:hanging="720"/>
        <w:rPr>
          <w:rFonts w:ascii="Arial" w:hAnsi="Arial" w:cs="Arial"/>
        </w:rPr>
      </w:pPr>
      <w:r w:rsidRPr="00923391">
        <w:rPr>
          <w:rFonts w:ascii="Arial" w:hAnsi="Arial" w:cs="Arial"/>
        </w:rPr>
        <w:t>8.1</w:t>
      </w:r>
      <w:r w:rsidRPr="00923391">
        <w:rPr>
          <w:rFonts w:ascii="Arial" w:hAnsi="Arial" w:cs="Arial"/>
        </w:rPr>
        <w:tab/>
        <w:t>Proposals should be submitted in the form of a Word document</w:t>
      </w:r>
      <w:r w:rsidR="0080005C">
        <w:rPr>
          <w:rFonts w:ascii="Arial" w:hAnsi="Arial" w:cs="Arial"/>
        </w:rPr>
        <w:t xml:space="preserve"> </w:t>
      </w:r>
      <w:r w:rsidR="00C67320">
        <w:rPr>
          <w:rFonts w:ascii="Arial" w:hAnsi="Arial" w:cs="Arial"/>
        </w:rPr>
        <w:t xml:space="preserve">(maximum 5,000 words). </w:t>
      </w:r>
    </w:p>
    <w:p w14:paraId="153DBFBE" w14:textId="3A2A4681" w:rsidR="00923391" w:rsidRPr="00923391" w:rsidRDefault="00C67320" w:rsidP="00164CAB">
      <w:pPr>
        <w:ind w:left="720" w:right="95" w:hanging="720"/>
        <w:rPr>
          <w:rFonts w:ascii="Arial" w:hAnsi="Arial" w:cs="Arial"/>
        </w:rPr>
      </w:pPr>
      <w:r>
        <w:rPr>
          <w:rFonts w:ascii="Arial" w:hAnsi="Arial" w:cs="Arial"/>
        </w:rPr>
        <w:t>8.2</w:t>
      </w:r>
      <w:r>
        <w:rPr>
          <w:rFonts w:ascii="Arial" w:hAnsi="Arial" w:cs="Arial"/>
        </w:rPr>
        <w:tab/>
      </w:r>
      <w:r w:rsidR="00923391" w:rsidRPr="00923391">
        <w:rPr>
          <w:rFonts w:ascii="Arial" w:hAnsi="Arial" w:cs="Arial"/>
        </w:rPr>
        <w:t>All proposals must include:</w:t>
      </w:r>
    </w:p>
    <w:p w14:paraId="7CF1A201" w14:textId="56B565E2" w:rsidR="00923391" w:rsidRPr="00923391" w:rsidRDefault="00923391" w:rsidP="00164CAB">
      <w:pPr>
        <w:pStyle w:val="ListParagraph"/>
        <w:numPr>
          <w:ilvl w:val="0"/>
          <w:numId w:val="21"/>
        </w:numPr>
        <w:spacing w:after="0" w:line="240" w:lineRule="auto"/>
        <w:ind w:right="95"/>
        <w:rPr>
          <w:rFonts w:ascii="Arial" w:hAnsi="Arial" w:cs="Arial"/>
        </w:rPr>
      </w:pPr>
      <w:r w:rsidRPr="00923391">
        <w:rPr>
          <w:rFonts w:ascii="Arial" w:hAnsi="Arial" w:cs="Arial"/>
          <w:u w:val="single"/>
        </w:rPr>
        <w:t>Methodology:</w:t>
      </w:r>
      <w:r w:rsidRPr="00923391">
        <w:rPr>
          <w:rFonts w:ascii="Arial" w:hAnsi="Arial" w:cs="Arial"/>
        </w:rPr>
        <w:t xml:space="preserve"> A clear explanation of the </w:t>
      </w:r>
      <w:r w:rsidR="000851A8">
        <w:rPr>
          <w:rFonts w:ascii="Arial" w:hAnsi="Arial" w:cs="Arial"/>
        </w:rPr>
        <w:t xml:space="preserve">review design </w:t>
      </w:r>
      <w:r w:rsidR="0080005C">
        <w:rPr>
          <w:rFonts w:ascii="Arial" w:hAnsi="Arial" w:cs="Arial"/>
        </w:rPr>
        <w:t>and pr</w:t>
      </w:r>
      <w:r w:rsidR="00D9591B">
        <w:rPr>
          <w:rFonts w:ascii="Arial" w:hAnsi="Arial" w:cs="Arial"/>
        </w:rPr>
        <w:t>o</w:t>
      </w:r>
      <w:r w:rsidR="0080005C">
        <w:rPr>
          <w:rFonts w:ascii="Arial" w:hAnsi="Arial" w:cs="Arial"/>
        </w:rPr>
        <w:t>posed scope of the work</w:t>
      </w:r>
      <w:r w:rsidRPr="00923391">
        <w:rPr>
          <w:rFonts w:ascii="Arial" w:hAnsi="Arial" w:cs="Arial"/>
        </w:rPr>
        <w:t xml:space="preserve"> addressing the issues outlined in section </w:t>
      </w:r>
      <w:r w:rsidR="00D05995">
        <w:rPr>
          <w:rFonts w:ascii="Arial" w:hAnsi="Arial" w:cs="Arial"/>
        </w:rPr>
        <w:t>3</w:t>
      </w:r>
      <w:r w:rsidRPr="00923391">
        <w:rPr>
          <w:rFonts w:ascii="Arial" w:hAnsi="Arial" w:cs="Arial"/>
        </w:rPr>
        <w:t xml:space="preserve"> above.</w:t>
      </w:r>
    </w:p>
    <w:p w14:paraId="5CE0F33A" w14:textId="77777777" w:rsidR="00923391" w:rsidRPr="00923391" w:rsidRDefault="00923391" w:rsidP="00164CAB">
      <w:pPr>
        <w:pStyle w:val="ListParagraph"/>
        <w:ind w:right="95"/>
        <w:rPr>
          <w:rFonts w:ascii="Arial" w:hAnsi="Arial" w:cs="Arial"/>
        </w:rPr>
      </w:pPr>
    </w:p>
    <w:p w14:paraId="3CDFE371" w14:textId="77777777" w:rsidR="00923391" w:rsidRPr="00923391" w:rsidRDefault="00923391" w:rsidP="00164CAB">
      <w:pPr>
        <w:numPr>
          <w:ilvl w:val="0"/>
          <w:numId w:val="20"/>
        </w:numPr>
        <w:spacing w:after="0" w:line="240" w:lineRule="auto"/>
        <w:ind w:right="95"/>
        <w:rPr>
          <w:rFonts w:ascii="Arial" w:hAnsi="Arial" w:cs="Arial"/>
        </w:rPr>
      </w:pPr>
      <w:r w:rsidRPr="00923391">
        <w:rPr>
          <w:rFonts w:ascii="Arial" w:hAnsi="Arial" w:cs="Arial"/>
          <w:u w:val="single"/>
        </w:rPr>
        <w:t>Support required:</w:t>
      </w:r>
      <w:r w:rsidRPr="00923391">
        <w:rPr>
          <w:rFonts w:ascii="Arial" w:hAnsi="Arial" w:cs="Arial"/>
        </w:rPr>
        <w:t xml:space="preserve"> e.g. any support required from the OSC.</w:t>
      </w:r>
    </w:p>
    <w:p w14:paraId="74254B0D" w14:textId="77777777" w:rsidR="00923391" w:rsidRPr="00923391" w:rsidRDefault="00923391" w:rsidP="00164CAB">
      <w:pPr>
        <w:ind w:right="95"/>
        <w:rPr>
          <w:rFonts w:ascii="Arial" w:hAnsi="Arial" w:cs="Arial"/>
        </w:rPr>
      </w:pPr>
    </w:p>
    <w:p w14:paraId="55BD2C3B" w14:textId="77777777" w:rsidR="00923391" w:rsidRPr="00923391" w:rsidRDefault="00923391" w:rsidP="00164CAB">
      <w:pPr>
        <w:numPr>
          <w:ilvl w:val="0"/>
          <w:numId w:val="20"/>
        </w:numPr>
        <w:spacing w:after="0" w:line="240" w:lineRule="auto"/>
        <w:ind w:right="95"/>
        <w:rPr>
          <w:rFonts w:ascii="Arial" w:hAnsi="Arial" w:cs="Arial"/>
        </w:rPr>
      </w:pPr>
      <w:r w:rsidRPr="00923391">
        <w:rPr>
          <w:rFonts w:ascii="Arial" w:hAnsi="Arial" w:cs="Arial"/>
          <w:u w:val="single"/>
        </w:rPr>
        <w:t>Proposed timetable:</w:t>
      </w:r>
      <w:r w:rsidRPr="00923391">
        <w:rPr>
          <w:rFonts w:ascii="Arial" w:hAnsi="Arial" w:cs="Arial"/>
        </w:rPr>
        <w:t xml:space="preserve"> for each individual part of the work.</w:t>
      </w:r>
    </w:p>
    <w:p w14:paraId="5556ACAC" w14:textId="77777777" w:rsidR="00923391" w:rsidRPr="00923391" w:rsidRDefault="00923391" w:rsidP="00164CAB">
      <w:pPr>
        <w:ind w:right="95"/>
        <w:rPr>
          <w:rFonts w:ascii="Arial" w:hAnsi="Arial" w:cs="Arial"/>
        </w:rPr>
      </w:pPr>
    </w:p>
    <w:p w14:paraId="792B2922" w14:textId="77777777" w:rsidR="00923391" w:rsidRPr="00C802F8" w:rsidRDefault="00923391" w:rsidP="00164CAB">
      <w:pPr>
        <w:numPr>
          <w:ilvl w:val="0"/>
          <w:numId w:val="20"/>
        </w:numPr>
        <w:tabs>
          <w:tab w:val="num" w:pos="1440"/>
        </w:tabs>
        <w:spacing w:after="0" w:line="240" w:lineRule="auto"/>
        <w:ind w:right="95"/>
        <w:contextualSpacing/>
        <w:rPr>
          <w:rFonts w:ascii="Arial" w:hAnsi="Arial" w:cs="Arial"/>
        </w:rPr>
      </w:pPr>
      <w:r w:rsidRPr="00923391">
        <w:rPr>
          <w:rFonts w:ascii="Arial" w:hAnsi="Arial" w:cs="Arial"/>
          <w:u w:val="single"/>
        </w:rPr>
        <w:t xml:space="preserve">Costs: </w:t>
      </w:r>
      <w:r w:rsidRPr="00923391">
        <w:rPr>
          <w:rFonts w:ascii="Arial" w:hAnsi="Arial" w:cs="Arial"/>
        </w:rPr>
        <w:t>Each part of the research should be costed separately to allow the OSC to make a final decision. In addition, staff rates must be specified and a detailed breakdown of the proportion of</w:t>
      </w:r>
      <w:r w:rsidRPr="00C802F8">
        <w:rPr>
          <w:rFonts w:ascii="Arial" w:hAnsi="Arial" w:cs="Arial"/>
        </w:rPr>
        <w:t xml:space="preserve"> time spent by key staff on the different elements of the research provided. Costs should be exclusive of taxes and VAT. </w:t>
      </w:r>
    </w:p>
    <w:p w14:paraId="07D5F7B7" w14:textId="77777777" w:rsidR="00923391" w:rsidRPr="005208B7" w:rsidRDefault="00923391" w:rsidP="00164CAB">
      <w:pPr>
        <w:tabs>
          <w:tab w:val="num" w:pos="1080"/>
        </w:tabs>
        <w:ind w:left="1080" w:right="95"/>
        <w:rPr>
          <w:rFonts w:ascii="Arial" w:hAnsi="Arial" w:cs="Arial"/>
        </w:rPr>
      </w:pPr>
    </w:p>
    <w:p w14:paraId="368CCC6C" w14:textId="0D56CDDC" w:rsidR="00923391" w:rsidRPr="005208B7" w:rsidRDefault="00923391" w:rsidP="00164CAB">
      <w:pPr>
        <w:numPr>
          <w:ilvl w:val="0"/>
          <w:numId w:val="20"/>
        </w:numPr>
        <w:autoSpaceDE w:val="0"/>
        <w:autoSpaceDN w:val="0"/>
        <w:adjustRightInd w:val="0"/>
        <w:spacing w:after="0" w:line="240" w:lineRule="auto"/>
        <w:ind w:right="95"/>
        <w:rPr>
          <w:rFonts w:ascii="Arial" w:hAnsi="Arial" w:cs="Arial"/>
          <w:iCs/>
        </w:rPr>
      </w:pPr>
      <w:r w:rsidRPr="005208B7">
        <w:rPr>
          <w:rFonts w:ascii="Arial" w:hAnsi="Arial" w:cs="Arial"/>
          <w:u w:val="single"/>
        </w:rPr>
        <w:t>Staff:</w:t>
      </w:r>
      <w:r w:rsidRPr="005208B7">
        <w:rPr>
          <w:rFonts w:ascii="Arial" w:hAnsi="Arial" w:cs="Arial"/>
        </w:rPr>
        <w:t xml:space="preserve"> details of staff and any relevant experience should be outlined.  Please provide information on the role/ responsibilities that each member of the team will cover.</w:t>
      </w:r>
      <w:r w:rsidRPr="005208B7">
        <w:rPr>
          <w:rFonts w:ascii="Arial" w:hAnsi="Arial" w:cs="Arial"/>
          <w:iCs/>
          <w:color w:val="000000"/>
        </w:rPr>
        <w:t xml:space="preserve"> </w:t>
      </w:r>
      <w:r w:rsidRPr="005208B7">
        <w:rPr>
          <w:rFonts w:ascii="Arial" w:hAnsi="Arial" w:cs="Arial"/>
          <w:iCs/>
        </w:rPr>
        <w:t>The successful contractor must ensure and confirm that all staff working on the project have had a Baseline Personnel Security Standard (BPSS).</w:t>
      </w:r>
    </w:p>
    <w:p w14:paraId="528B13C4" w14:textId="77777777" w:rsidR="00923391" w:rsidRPr="005208B7" w:rsidRDefault="00923391" w:rsidP="00164CAB">
      <w:pPr>
        <w:autoSpaceDE w:val="0"/>
        <w:autoSpaceDN w:val="0"/>
        <w:adjustRightInd w:val="0"/>
        <w:ind w:right="95"/>
        <w:rPr>
          <w:rFonts w:ascii="Arial" w:hAnsi="Arial" w:cs="Arial"/>
          <w:iCs/>
          <w:color w:val="000000"/>
        </w:rPr>
      </w:pPr>
    </w:p>
    <w:p w14:paraId="3C821973" w14:textId="77777777" w:rsidR="00923391" w:rsidRPr="005208B7" w:rsidRDefault="00923391" w:rsidP="00164CAB">
      <w:pPr>
        <w:numPr>
          <w:ilvl w:val="0"/>
          <w:numId w:val="20"/>
        </w:numPr>
        <w:autoSpaceDE w:val="0"/>
        <w:autoSpaceDN w:val="0"/>
        <w:adjustRightInd w:val="0"/>
        <w:spacing w:after="0" w:line="240" w:lineRule="auto"/>
        <w:ind w:right="95"/>
        <w:rPr>
          <w:rFonts w:ascii="Arial" w:hAnsi="Arial" w:cs="Arial"/>
          <w:iCs/>
          <w:color w:val="000000"/>
        </w:rPr>
      </w:pPr>
      <w:r w:rsidRPr="005208B7">
        <w:rPr>
          <w:rFonts w:ascii="Arial" w:hAnsi="Arial" w:cs="Arial"/>
          <w:iCs/>
          <w:color w:val="000000"/>
          <w:u w:val="single"/>
        </w:rPr>
        <w:t>Quality assurance procedures:</w:t>
      </w:r>
      <w:r w:rsidRPr="005208B7">
        <w:rPr>
          <w:rFonts w:ascii="Arial" w:hAnsi="Arial" w:cs="Arial"/>
          <w:iCs/>
          <w:color w:val="000000"/>
        </w:rPr>
        <w:t xml:space="preserve"> the bidder must commit to undertake quality assurance of all deliverables </w:t>
      </w:r>
      <w:r>
        <w:rPr>
          <w:rFonts w:ascii="Arial" w:hAnsi="Arial" w:cs="Arial"/>
          <w:iCs/>
          <w:color w:val="000000"/>
        </w:rPr>
        <w:t xml:space="preserve">and </w:t>
      </w:r>
      <w:r w:rsidRPr="005208B7">
        <w:rPr>
          <w:rFonts w:ascii="Arial" w:hAnsi="Arial" w:cs="Arial"/>
          <w:iCs/>
          <w:color w:val="000000"/>
        </w:rPr>
        <w:t>to guarantee the accuracy of all outputs to the OSC Council. Bidders must provide details of the quality assurance procedures they have in place.</w:t>
      </w:r>
    </w:p>
    <w:p w14:paraId="6617230C" w14:textId="77777777" w:rsidR="00923391" w:rsidRPr="005208B7" w:rsidRDefault="00923391" w:rsidP="00164CAB">
      <w:pPr>
        <w:autoSpaceDE w:val="0"/>
        <w:autoSpaceDN w:val="0"/>
        <w:adjustRightInd w:val="0"/>
        <w:ind w:right="95"/>
        <w:rPr>
          <w:rFonts w:ascii="Arial" w:hAnsi="Arial" w:cs="Arial"/>
          <w:iCs/>
          <w:color w:val="000000"/>
        </w:rPr>
      </w:pPr>
    </w:p>
    <w:p w14:paraId="20A86E22" w14:textId="77777777" w:rsidR="00923391" w:rsidRPr="005208B7" w:rsidRDefault="00923391" w:rsidP="00164CAB">
      <w:pPr>
        <w:numPr>
          <w:ilvl w:val="0"/>
          <w:numId w:val="20"/>
        </w:numPr>
        <w:autoSpaceDE w:val="0"/>
        <w:autoSpaceDN w:val="0"/>
        <w:adjustRightInd w:val="0"/>
        <w:spacing w:after="0" w:line="240" w:lineRule="auto"/>
        <w:ind w:right="95"/>
        <w:rPr>
          <w:rFonts w:ascii="Arial" w:hAnsi="Arial" w:cs="Arial"/>
          <w:iCs/>
          <w:color w:val="000000"/>
        </w:rPr>
      </w:pPr>
      <w:r w:rsidRPr="005208B7">
        <w:rPr>
          <w:rFonts w:ascii="Arial" w:hAnsi="Arial" w:cs="Arial"/>
          <w:iCs/>
          <w:color w:val="000000"/>
          <w:u w:val="single"/>
        </w:rPr>
        <w:t>Risks:</w:t>
      </w:r>
      <w:r w:rsidRPr="005208B7">
        <w:rPr>
          <w:rFonts w:ascii="Arial" w:hAnsi="Arial" w:cs="Arial"/>
          <w:iCs/>
          <w:color w:val="000000"/>
        </w:rPr>
        <w:t xml:space="preserve"> bidders must identify and assess the risks associated with undertaking the research and the proposals for managing and overcoming these. Bidders must provide a full risk register for all elements of the project.</w:t>
      </w:r>
    </w:p>
    <w:p w14:paraId="7895E1F8" w14:textId="77777777" w:rsidR="00923391" w:rsidRPr="005208B7" w:rsidRDefault="00923391" w:rsidP="00164CAB">
      <w:pPr>
        <w:autoSpaceDE w:val="0"/>
        <w:autoSpaceDN w:val="0"/>
        <w:adjustRightInd w:val="0"/>
        <w:ind w:right="95"/>
        <w:rPr>
          <w:rFonts w:ascii="Arial" w:hAnsi="Arial" w:cs="Arial"/>
          <w:iCs/>
          <w:color w:val="000000"/>
        </w:rPr>
      </w:pPr>
    </w:p>
    <w:p w14:paraId="290ADC35" w14:textId="6169C284" w:rsidR="00923391" w:rsidRPr="005208B7" w:rsidRDefault="00923391" w:rsidP="00164CAB">
      <w:pPr>
        <w:numPr>
          <w:ilvl w:val="0"/>
          <w:numId w:val="20"/>
        </w:numPr>
        <w:autoSpaceDE w:val="0"/>
        <w:autoSpaceDN w:val="0"/>
        <w:adjustRightInd w:val="0"/>
        <w:spacing w:after="0" w:line="240" w:lineRule="auto"/>
        <w:ind w:right="95"/>
        <w:rPr>
          <w:rFonts w:ascii="Arial" w:hAnsi="Arial" w:cs="Arial"/>
          <w:iCs/>
          <w:color w:val="000000"/>
        </w:rPr>
      </w:pPr>
      <w:r w:rsidRPr="005208B7">
        <w:rPr>
          <w:rFonts w:ascii="Arial" w:hAnsi="Arial" w:cs="Arial"/>
          <w:iCs/>
          <w:color w:val="000000"/>
          <w:u w:val="single"/>
        </w:rPr>
        <w:t>Ethical issues:</w:t>
      </w:r>
      <w:r w:rsidRPr="005208B7">
        <w:rPr>
          <w:rFonts w:ascii="Arial" w:hAnsi="Arial" w:cs="Arial"/>
          <w:iCs/>
          <w:color w:val="000000"/>
        </w:rPr>
        <w:t xml:space="preserve"> The research will be expected to meet the requirements of the Government Social Researcher (GSR) Professional Guidance: Ethical Assurance for Social Research in Government</w:t>
      </w:r>
      <w:r w:rsidR="0083131A">
        <w:rPr>
          <w:rFonts w:ascii="Arial" w:hAnsi="Arial" w:cs="Arial"/>
          <w:iCs/>
          <w:color w:val="000000"/>
        </w:rPr>
        <w:t xml:space="preserve"> </w:t>
      </w:r>
      <w:r w:rsidR="0083131A" w:rsidRPr="003F0662">
        <w:rPr>
          <w:rFonts w:ascii="Arial" w:hAnsi="Arial" w:cs="Arial"/>
          <w:iCs/>
          <w:color w:val="000000"/>
        </w:rPr>
        <w:t>(</w:t>
      </w:r>
      <w:hyperlink r:id="rId14" w:history="1">
        <w:r w:rsidR="0083131A" w:rsidRPr="003F0662">
          <w:rPr>
            <w:rStyle w:val="Hyperlink"/>
            <w:rFonts w:ascii="Arial" w:hAnsi="Arial" w:cs="Arial"/>
          </w:rPr>
          <w:t>GSR Ethical Assurance for Social and Behavioural Research - GOV.UK (www.gov.uk)</w:t>
        </w:r>
      </w:hyperlink>
      <w:r w:rsidR="0083131A" w:rsidRPr="003F0662">
        <w:rPr>
          <w:rFonts w:ascii="Arial" w:hAnsi="Arial" w:cs="Arial"/>
        </w:rPr>
        <w:t>.</w:t>
      </w:r>
      <w:r w:rsidR="0083131A">
        <w:rPr>
          <w:rFonts w:ascii="Arial" w:hAnsi="Arial" w:cs="Arial"/>
        </w:rPr>
        <w:t xml:space="preserve"> </w:t>
      </w:r>
      <w:r w:rsidRPr="005208B7">
        <w:rPr>
          <w:rFonts w:ascii="Arial" w:hAnsi="Arial" w:cs="Arial"/>
          <w:iCs/>
          <w:color w:val="000000"/>
        </w:rPr>
        <w:t>Bidders must provide details of any ethical issues relevant to the proposal and how these will be addressed.</w:t>
      </w:r>
    </w:p>
    <w:p w14:paraId="20AEB380" w14:textId="77777777" w:rsidR="00923391" w:rsidRPr="005208B7" w:rsidRDefault="00923391" w:rsidP="00164CAB">
      <w:pPr>
        <w:autoSpaceDE w:val="0"/>
        <w:autoSpaceDN w:val="0"/>
        <w:adjustRightInd w:val="0"/>
        <w:ind w:right="95"/>
        <w:rPr>
          <w:rFonts w:ascii="Arial" w:hAnsi="Arial" w:cs="Arial"/>
          <w:iCs/>
          <w:color w:val="000000"/>
        </w:rPr>
      </w:pPr>
    </w:p>
    <w:p w14:paraId="41ADBB1C" w14:textId="46DA8581" w:rsidR="003A41E3" w:rsidRPr="0005749B" w:rsidRDefault="003A41E3" w:rsidP="00164CAB">
      <w:pPr>
        <w:numPr>
          <w:ilvl w:val="0"/>
          <w:numId w:val="20"/>
        </w:numPr>
        <w:autoSpaceDE w:val="0"/>
        <w:autoSpaceDN w:val="0"/>
        <w:adjustRightInd w:val="0"/>
        <w:spacing w:after="0" w:line="240" w:lineRule="auto"/>
        <w:ind w:right="95"/>
        <w:rPr>
          <w:rFonts w:ascii="Arial" w:hAnsi="Arial" w:cs="Arial"/>
          <w:iCs/>
          <w:color w:val="000000"/>
        </w:rPr>
      </w:pPr>
      <w:r w:rsidRPr="0005749B">
        <w:rPr>
          <w:rFonts w:ascii="Arial" w:hAnsi="Arial" w:cs="Arial"/>
          <w:color w:val="000000"/>
          <w:u w:val="single"/>
        </w:rPr>
        <w:t>Data protection:</w:t>
      </w:r>
      <w:r w:rsidRPr="0005749B">
        <w:rPr>
          <w:rFonts w:ascii="Arial" w:hAnsi="Arial" w:cs="Arial"/>
          <w:color w:val="000000"/>
        </w:rPr>
        <w:t xml:space="preserve"> </w:t>
      </w:r>
      <w:bookmarkStart w:id="1" w:name="_Hlk90050111"/>
      <w:r w:rsidRPr="0005749B">
        <w:rPr>
          <w:rFonts w:ascii="Arial" w:hAnsi="Arial" w:cs="Arial"/>
          <w:color w:val="000000"/>
        </w:rPr>
        <w:t xml:space="preserve">the successful contractor will be required to store all data in accordance with data protection legislation and current OSC/ MoJ data security procedures. Please see: </w:t>
      </w:r>
      <w:hyperlink r:id="rId15" w:anchor="supplier-corporate-it" w:history="1">
        <w:r w:rsidRPr="0005749B">
          <w:rPr>
            <w:rStyle w:val="Hyperlink"/>
            <w:rFonts w:ascii="Arial" w:hAnsi="Arial" w:cs="Arial"/>
          </w:rPr>
          <w:t>https://ministryofjustice.github.io/security-guidance/supplier-corporate-it/#supplier-corporate-it</w:t>
        </w:r>
      </w:hyperlink>
      <w:r w:rsidRPr="0005749B">
        <w:rPr>
          <w:rFonts w:ascii="Arial" w:hAnsi="Arial" w:cs="Arial"/>
        </w:rPr>
        <w:t>. The successful contractor will also be required to have Cyber Essentials certification (or to be able to show they are working towards this) and ISO27001 (or equivalent) certification.</w:t>
      </w:r>
      <w:r w:rsidRPr="0005749B">
        <w:rPr>
          <w:rFonts w:ascii="Arial" w:hAnsi="Arial" w:cs="Arial"/>
          <w:color w:val="000000"/>
        </w:rPr>
        <w:t xml:space="preserve"> </w:t>
      </w:r>
    </w:p>
    <w:p w14:paraId="40EFFDDC" w14:textId="77777777" w:rsidR="003A41E3" w:rsidRPr="004916B8" w:rsidRDefault="003A41E3" w:rsidP="00164CAB">
      <w:pPr>
        <w:pStyle w:val="ListParagraph"/>
        <w:spacing w:line="252" w:lineRule="auto"/>
        <w:ind w:left="420" w:right="95"/>
        <w:rPr>
          <w:rFonts w:ascii="Arial" w:hAnsi="Arial" w:cs="Arial"/>
          <w:b/>
          <w:bCs/>
          <w:color w:val="000000"/>
          <w:u w:val="single"/>
        </w:rPr>
      </w:pPr>
    </w:p>
    <w:p w14:paraId="51EAAED9" w14:textId="77777777" w:rsidR="003A41E3" w:rsidRPr="0005749B" w:rsidRDefault="003A41E3" w:rsidP="00164CAB">
      <w:pPr>
        <w:pStyle w:val="ListParagraph"/>
        <w:spacing w:line="252" w:lineRule="auto"/>
        <w:ind w:left="709" w:right="95"/>
        <w:rPr>
          <w:rFonts w:ascii="Arial" w:hAnsi="Arial" w:cs="Arial"/>
        </w:rPr>
      </w:pPr>
      <w:r w:rsidRPr="004916B8">
        <w:rPr>
          <w:rFonts w:ascii="Arial" w:hAnsi="Arial" w:cs="Arial"/>
        </w:rPr>
        <w:t xml:space="preserve">Bidders must provide details of data protection issues relevant to the proposal and explain how these will be addressed in compliance with the Data Protection Act 2018.  This should include (but not be limited to): how information will be collected from individuals; how it will be stored (and in what storage location); secure transfer of information; disposal of information following completion of the project; who will have access to the data and how this will be managed. </w:t>
      </w:r>
      <w:r w:rsidRPr="0005749B">
        <w:rPr>
          <w:rFonts w:ascii="Arial" w:hAnsi="Arial" w:cs="Arial"/>
        </w:rPr>
        <w:t>Contractors are responsible for ensuring all necessary permissions are acquired for the use of data, visuals or other materials throughout the project that are subject to copyright law, and that materials are used in accordance with the permissions that have been secured. Contractors are also responsible for ensuring suitable referencing of materials in all project outputs including project data.</w:t>
      </w:r>
    </w:p>
    <w:bookmarkEnd w:id="1"/>
    <w:p w14:paraId="631A8556" w14:textId="77777777" w:rsidR="00923391" w:rsidRPr="005208B7" w:rsidRDefault="00923391" w:rsidP="00164CAB">
      <w:pPr>
        <w:ind w:left="720" w:right="95" w:hanging="720"/>
        <w:rPr>
          <w:rFonts w:ascii="Arial" w:hAnsi="Arial" w:cs="Arial"/>
        </w:rPr>
      </w:pPr>
    </w:p>
    <w:p w14:paraId="44C8F198" w14:textId="5B3B9F37" w:rsidR="00923391" w:rsidRDefault="00D05995" w:rsidP="00164CAB">
      <w:pPr>
        <w:autoSpaceDE w:val="0"/>
        <w:autoSpaceDN w:val="0"/>
        <w:adjustRightInd w:val="0"/>
        <w:ind w:right="95"/>
        <w:outlineLvl w:val="0"/>
        <w:rPr>
          <w:rFonts w:ascii="Arial" w:hAnsi="Arial" w:cs="Arial"/>
          <w:b/>
          <w:iCs/>
          <w:color w:val="000000"/>
        </w:rPr>
      </w:pPr>
      <w:r>
        <w:rPr>
          <w:rFonts w:ascii="Arial" w:hAnsi="Arial" w:cs="Arial"/>
          <w:b/>
          <w:iCs/>
          <w:color w:val="000000"/>
        </w:rPr>
        <w:t>9</w:t>
      </w:r>
      <w:r w:rsidR="00923391" w:rsidRPr="005208B7">
        <w:rPr>
          <w:rFonts w:ascii="Arial" w:hAnsi="Arial" w:cs="Arial"/>
          <w:b/>
          <w:iCs/>
          <w:color w:val="000000"/>
        </w:rPr>
        <w:t>. Tender evaluation</w:t>
      </w:r>
    </w:p>
    <w:p w14:paraId="6BE928F3" w14:textId="650E11B9" w:rsidR="00923391" w:rsidRPr="0054267C" w:rsidRDefault="00D05995" w:rsidP="00164CAB">
      <w:pPr>
        <w:autoSpaceDE w:val="0"/>
        <w:autoSpaceDN w:val="0"/>
        <w:adjustRightInd w:val="0"/>
        <w:ind w:right="95"/>
        <w:outlineLvl w:val="0"/>
        <w:rPr>
          <w:rFonts w:ascii="Arial" w:hAnsi="Arial" w:cs="Arial"/>
          <w:bCs/>
          <w:iCs/>
          <w:color w:val="000000"/>
        </w:rPr>
      </w:pPr>
      <w:r>
        <w:rPr>
          <w:rFonts w:ascii="Arial" w:hAnsi="Arial" w:cs="Arial"/>
          <w:bCs/>
          <w:iCs/>
          <w:color w:val="000000"/>
        </w:rPr>
        <w:t>9.1</w:t>
      </w:r>
      <w:r>
        <w:rPr>
          <w:rFonts w:ascii="Arial" w:hAnsi="Arial" w:cs="Arial"/>
          <w:bCs/>
          <w:iCs/>
          <w:color w:val="000000"/>
        </w:rPr>
        <w:tab/>
      </w:r>
      <w:r w:rsidR="0054267C" w:rsidRPr="0054267C">
        <w:rPr>
          <w:rFonts w:ascii="Arial" w:hAnsi="Arial" w:cs="Arial"/>
          <w:bCs/>
          <w:iCs/>
          <w:color w:val="000000"/>
        </w:rPr>
        <w:t>Proposals will be evaluated based on the following</w:t>
      </w:r>
      <w:r w:rsidR="00C72E5F">
        <w:rPr>
          <w:rFonts w:ascii="Arial" w:hAnsi="Arial" w:cs="Arial"/>
          <w:bCs/>
          <w:iCs/>
          <w:color w:val="000000"/>
        </w:rPr>
        <w:t xml:space="preserve"> criteria and scoring system</w:t>
      </w:r>
      <w:r w:rsidR="0054267C" w:rsidRPr="0054267C">
        <w:rPr>
          <w:rFonts w:ascii="Arial" w:hAnsi="Arial" w:cs="Arial"/>
          <w:bCs/>
          <w:iCs/>
          <w:color w:val="000000"/>
        </w:rPr>
        <w:t>:</w:t>
      </w:r>
    </w:p>
    <w:tbl>
      <w:tblPr>
        <w:tblW w:w="10348" w:type="dxa"/>
        <w:tblInd w:w="13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67"/>
        <w:gridCol w:w="6804"/>
        <w:gridCol w:w="1418"/>
        <w:gridCol w:w="1559"/>
      </w:tblGrid>
      <w:tr w:rsidR="00923391" w:rsidRPr="003E3A3A" w14:paraId="6B455F25" w14:textId="77777777" w:rsidTr="00D05995">
        <w:trPr>
          <w:gridAfter w:val="1"/>
          <w:wAfter w:w="1559" w:type="dxa"/>
          <w:trHeight w:val="435"/>
        </w:trPr>
        <w:tc>
          <w:tcPr>
            <w:tcW w:w="567" w:type="dxa"/>
            <w:tcBorders>
              <w:top w:val="single" w:sz="8" w:space="0" w:color="000000"/>
              <w:bottom w:val="single" w:sz="8" w:space="0" w:color="000000"/>
              <w:right w:val="single" w:sz="8" w:space="0" w:color="000000"/>
            </w:tcBorders>
          </w:tcPr>
          <w:p w14:paraId="5030BEF9" w14:textId="77777777" w:rsidR="00923391" w:rsidRPr="003E3A3A" w:rsidRDefault="00923391" w:rsidP="00164CAB">
            <w:pPr>
              <w:autoSpaceDE w:val="0"/>
              <w:autoSpaceDN w:val="0"/>
              <w:adjustRightInd w:val="0"/>
              <w:ind w:right="95"/>
              <w:rPr>
                <w:rFonts w:ascii="Arial" w:hAnsi="Arial" w:cs="Arial"/>
                <w:b/>
                <w:bCs/>
                <w:color w:val="000000"/>
              </w:rPr>
            </w:pPr>
          </w:p>
        </w:tc>
        <w:tc>
          <w:tcPr>
            <w:tcW w:w="6804" w:type="dxa"/>
            <w:tcBorders>
              <w:top w:val="single" w:sz="8" w:space="0" w:color="000000"/>
              <w:left w:val="single" w:sz="8" w:space="0" w:color="000000"/>
              <w:bottom w:val="single" w:sz="8" w:space="0" w:color="000000"/>
              <w:right w:val="single" w:sz="8" w:space="0" w:color="000000"/>
            </w:tcBorders>
          </w:tcPr>
          <w:p w14:paraId="791B2547" w14:textId="77777777" w:rsidR="00923391" w:rsidRPr="003E3A3A" w:rsidRDefault="00923391" w:rsidP="00164CAB">
            <w:pPr>
              <w:autoSpaceDE w:val="0"/>
              <w:autoSpaceDN w:val="0"/>
              <w:adjustRightInd w:val="0"/>
              <w:ind w:right="95"/>
              <w:rPr>
                <w:rFonts w:ascii="Arial" w:hAnsi="Arial" w:cs="Arial"/>
                <w:b/>
                <w:color w:val="000000"/>
              </w:rPr>
            </w:pPr>
            <w:r w:rsidRPr="003E3A3A">
              <w:rPr>
                <w:rFonts w:ascii="Arial" w:hAnsi="Arial" w:cs="Arial"/>
                <w:b/>
                <w:color w:val="000000"/>
              </w:rPr>
              <w:t>Main Criteria</w:t>
            </w:r>
          </w:p>
        </w:tc>
        <w:tc>
          <w:tcPr>
            <w:tcW w:w="1418" w:type="dxa"/>
            <w:tcBorders>
              <w:top w:val="single" w:sz="8" w:space="0" w:color="000000"/>
              <w:left w:val="single" w:sz="8" w:space="0" w:color="000000"/>
              <w:bottom w:val="single" w:sz="8" w:space="0" w:color="000000"/>
            </w:tcBorders>
          </w:tcPr>
          <w:p w14:paraId="2172184B" w14:textId="77777777" w:rsidR="00923391" w:rsidRDefault="00923391" w:rsidP="00164CAB">
            <w:pPr>
              <w:autoSpaceDE w:val="0"/>
              <w:autoSpaceDN w:val="0"/>
              <w:adjustRightInd w:val="0"/>
              <w:spacing w:after="0" w:line="240" w:lineRule="auto"/>
              <w:ind w:right="96"/>
              <w:rPr>
                <w:rFonts w:ascii="Arial" w:hAnsi="Arial" w:cs="Arial"/>
                <w:b/>
                <w:color w:val="000000"/>
              </w:rPr>
            </w:pPr>
            <w:r w:rsidRPr="003E3A3A">
              <w:rPr>
                <w:rFonts w:ascii="Arial" w:hAnsi="Arial" w:cs="Arial"/>
                <w:b/>
                <w:color w:val="000000"/>
              </w:rPr>
              <w:t xml:space="preserve">Criteria </w:t>
            </w:r>
          </w:p>
          <w:p w14:paraId="311AC6B2" w14:textId="77777777" w:rsidR="00923391" w:rsidRPr="003E3A3A" w:rsidRDefault="00923391" w:rsidP="00164CAB">
            <w:pPr>
              <w:autoSpaceDE w:val="0"/>
              <w:autoSpaceDN w:val="0"/>
              <w:adjustRightInd w:val="0"/>
              <w:spacing w:after="0" w:line="240" w:lineRule="auto"/>
              <w:ind w:right="96"/>
              <w:rPr>
                <w:rFonts w:ascii="Arial" w:hAnsi="Arial" w:cs="Arial"/>
                <w:b/>
                <w:color w:val="000000"/>
              </w:rPr>
            </w:pPr>
            <w:r w:rsidRPr="003E3A3A">
              <w:rPr>
                <w:rFonts w:ascii="Arial" w:hAnsi="Arial" w:cs="Arial"/>
                <w:b/>
                <w:color w:val="000000"/>
              </w:rPr>
              <w:t>weighting</w:t>
            </w:r>
          </w:p>
        </w:tc>
      </w:tr>
      <w:tr w:rsidR="00923391" w:rsidRPr="005208B7" w14:paraId="6B429C7D" w14:textId="77777777" w:rsidTr="00D05995">
        <w:trPr>
          <w:gridAfter w:val="1"/>
          <w:wAfter w:w="1559" w:type="dxa"/>
          <w:trHeight w:val="435"/>
        </w:trPr>
        <w:tc>
          <w:tcPr>
            <w:tcW w:w="567" w:type="dxa"/>
            <w:tcBorders>
              <w:top w:val="single" w:sz="8" w:space="0" w:color="000000"/>
              <w:bottom w:val="single" w:sz="8" w:space="0" w:color="000000"/>
              <w:right w:val="single" w:sz="8" w:space="0" w:color="000000"/>
            </w:tcBorders>
          </w:tcPr>
          <w:p w14:paraId="5F600F64" w14:textId="77777777" w:rsidR="00923391" w:rsidRPr="005208B7" w:rsidRDefault="00923391" w:rsidP="00164CAB">
            <w:pPr>
              <w:autoSpaceDE w:val="0"/>
              <w:autoSpaceDN w:val="0"/>
              <w:adjustRightInd w:val="0"/>
              <w:ind w:right="95"/>
              <w:rPr>
                <w:rFonts w:ascii="Arial" w:hAnsi="Arial" w:cs="Arial"/>
                <w:color w:val="000000"/>
              </w:rPr>
            </w:pPr>
            <w:r w:rsidRPr="005208B7">
              <w:rPr>
                <w:rFonts w:ascii="Arial" w:hAnsi="Arial" w:cs="Arial"/>
                <w:b/>
                <w:bCs/>
                <w:color w:val="000000"/>
              </w:rPr>
              <w:t xml:space="preserve">1 </w:t>
            </w:r>
          </w:p>
        </w:tc>
        <w:tc>
          <w:tcPr>
            <w:tcW w:w="6804" w:type="dxa"/>
            <w:tcBorders>
              <w:top w:val="single" w:sz="8" w:space="0" w:color="000000"/>
              <w:left w:val="single" w:sz="8" w:space="0" w:color="000000"/>
              <w:bottom w:val="single" w:sz="8" w:space="0" w:color="000000"/>
              <w:right w:val="single" w:sz="8" w:space="0" w:color="000000"/>
            </w:tcBorders>
          </w:tcPr>
          <w:p w14:paraId="1BBEF8BF" w14:textId="05DDA0E0" w:rsidR="00923391" w:rsidRPr="00D81172" w:rsidRDefault="00923391" w:rsidP="00164CAB">
            <w:pPr>
              <w:autoSpaceDE w:val="0"/>
              <w:autoSpaceDN w:val="0"/>
              <w:adjustRightInd w:val="0"/>
              <w:spacing w:after="0" w:line="240" w:lineRule="auto"/>
              <w:ind w:right="95"/>
              <w:rPr>
                <w:rFonts w:ascii="Arial" w:hAnsi="Arial" w:cs="Arial"/>
              </w:rPr>
            </w:pPr>
            <w:r w:rsidRPr="005208B7">
              <w:rPr>
                <w:rFonts w:ascii="Arial" w:hAnsi="Arial" w:cs="Arial"/>
                <w:color w:val="000000"/>
              </w:rPr>
              <w:t>The proposed methodology</w:t>
            </w:r>
            <w:r>
              <w:rPr>
                <w:rFonts w:ascii="Arial" w:hAnsi="Arial" w:cs="Arial"/>
                <w:color w:val="000000"/>
              </w:rPr>
              <w:t>,</w:t>
            </w:r>
            <w:r w:rsidRPr="005208B7">
              <w:rPr>
                <w:rFonts w:ascii="Arial" w:hAnsi="Arial" w:cs="Arial"/>
                <w:color w:val="000000"/>
              </w:rPr>
              <w:t xml:space="preserve"> </w:t>
            </w:r>
            <w:r w:rsidRPr="005208B7">
              <w:rPr>
                <w:rFonts w:ascii="Arial" w:hAnsi="Arial" w:cs="Arial"/>
              </w:rPr>
              <w:t>includi</w:t>
            </w:r>
            <w:r>
              <w:rPr>
                <w:rFonts w:ascii="Arial" w:hAnsi="Arial" w:cs="Arial"/>
              </w:rPr>
              <w:t xml:space="preserve">ng </w:t>
            </w:r>
            <w:r w:rsidR="00B12949">
              <w:rPr>
                <w:rFonts w:ascii="Arial" w:hAnsi="Arial" w:cs="Arial"/>
              </w:rPr>
              <w:t xml:space="preserve">proposals for evidence to </w:t>
            </w:r>
            <w:r w:rsidR="00E22D7D">
              <w:rPr>
                <w:rFonts w:ascii="Arial" w:hAnsi="Arial" w:cs="Arial"/>
              </w:rPr>
              <w:t xml:space="preserve">include in the scope and other inclusion criteria (e.g. </w:t>
            </w:r>
            <w:r w:rsidR="00864E5D">
              <w:rPr>
                <w:rFonts w:ascii="Arial" w:hAnsi="Arial" w:cs="Arial"/>
              </w:rPr>
              <w:t xml:space="preserve">jurisdictions to include, date range etc). </w:t>
            </w:r>
          </w:p>
        </w:tc>
        <w:tc>
          <w:tcPr>
            <w:tcW w:w="1418" w:type="dxa"/>
            <w:tcBorders>
              <w:top w:val="single" w:sz="8" w:space="0" w:color="000000"/>
              <w:left w:val="single" w:sz="8" w:space="0" w:color="000000"/>
              <w:bottom w:val="single" w:sz="8" w:space="0" w:color="000000"/>
            </w:tcBorders>
          </w:tcPr>
          <w:p w14:paraId="0859774E" w14:textId="364F4F1E" w:rsidR="00923391" w:rsidRPr="005208B7" w:rsidRDefault="004A0764" w:rsidP="00164CAB">
            <w:pPr>
              <w:autoSpaceDE w:val="0"/>
              <w:autoSpaceDN w:val="0"/>
              <w:adjustRightInd w:val="0"/>
              <w:ind w:right="95"/>
              <w:rPr>
                <w:rFonts w:ascii="Arial" w:hAnsi="Arial" w:cs="Arial"/>
                <w:color w:val="000000"/>
              </w:rPr>
            </w:pPr>
            <w:r>
              <w:rPr>
                <w:rFonts w:ascii="Arial" w:hAnsi="Arial" w:cs="Arial"/>
                <w:color w:val="000000"/>
              </w:rPr>
              <w:t>2</w:t>
            </w:r>
            <w:r w:rsidR="005B65DA">
              <w:rPr>
                <w:rFonts w:ascii="Arial" w:hAnsi="Arial" w:cs="Arial"/>
                <w:color w:val="000000"/>
              </w:rPr>
              <w:t>0</w:t>
            </w:r>
            <w:r w:rsidR="00923391">
              <w:rPr>
                <w:rFonts w:ascii="Arial" w:hAnsi="Arial" w:cs="Arial"/>
                <w:color w:val="000000"/>
              </w:rPr>
              <w:t>%</w:t>
            </w:r>
          </w:p>
        </w:tc>
      </w:tr>
      <w:tr w:rsidR="00923391" w:rsidRPr="005208B7" w14:paraId="7BBA015F" w14:textId="77777777" w:rsidTr="00D05995">
        <w:trPr>
          <w:gridAfter w:val="1"/>
          <w:wAfter w:w="1559" w:type="dxa"/>
          <w:trHeight w:val="297"/>
        </w:trPr>
        <w:tc>
          <w:tcPr>
            <w:tcW w:w="567" w:type="dxa"/>
            <w:tcBorders>
              <w:top w:val="single" w:sz="8" w:space="0" w:color="000000"/>
              <w:bottom w:val="single" w:sz="8" w:space="0" w:color="000000"/>
              <w:right w:val="single" w:sz="8" w:space="0" w:color="000000"/>
            </w:tcBorders>
          </w:tcPr>
          <w:p w14:paraId="191DD73C" w14:textId="5B89B400" w:rsidR="00923391" w:rsidRPr="005208B7" w:rsidRDefault="00596236" w:rsidP="00164CAB">
            <w:pPr>
              <w:autoSpaceDE w:val="0"/>
              <w:autoSpaceDN w:val="0"/>
              <w:adjustRightInd w:val="0"/>
              <w:ind w:right="95"/>
              <w:rPr>
                <w:rFonts w:ascii="Arial" w:hAnsi="Arial" w:cs="Arial"/>
                <w:color w:val="000000"/>
              </w:rPr>
            </w:pPr>
            <w:r>
              <w:rPr>
                <w:rFonts w:ascii="Arial" w:hAnsi="Arial" w:cs="Arial"/>
                <w:b/>
                <w:bCs/>
                <w:color w:val="000000"/>
              </w:rPr>
              <w:lastRenderedPageBreak/>
              <w:t>2</w:t>
            </w:r>
          </w:p>
        </w:tc>
        <w:tc>
          <w:tcPr>
            <w:tcW w:w="6804" w:type="dxa"/>
            <w:tcBorders>
              <w:top w:val="single" w:sz="8" w:space="0" w:color="000000"/>
              <w:left w:val="single" w:sz="8" w:space="0" w:color="000000"/>
              <w:bottom w:val="single" w:sz="8" w:space="0" w:color="000000"/>
              <w:right w:val="single" w:sz="8" w:space="0" w:color="000000"/>
            </w:tcBorders>
          </w:tcPr>
          <w:p w14:paraId="7F5A539D" w14:textId="65343D23" w:rsidR="00923391" w:rsidRPr="005208B7" w:rsidRDefault="00923391" w:rsidP="00164CAB">
            <w:pPr>
              <w:autoSpaceDE w:val="0"/>
              <w:autoSpaceDN w:val="0"/>
              <w:adjustRightInd w:val="0"/>
              <w:spacing w:after="0" w:line="240" w:lineRule="auto"/>
              <w:ind w:right="95"/>
              <w:rPr>
                <w:rFonts w:ascii="Arial" w:hAnsi="Arial" w:cs="Arial"/>
                <w:color w:val="000000"/>
              </w:rPr>
            </w:pPr>
            <w:r w:rsidRPr="005208B7">
              <w:rPr>
                <w:rFonts w:ascii="Arial" w:hAnsi="Arial" w:cs="Arial"/>
                <w:color w:val="000000"/>
              </w:rPr>
              <w:t>Evidence of the practicality, project management and quality assurance</w:t>
            </w:r>
            <w:r w:rsidR="00164CAB">
              <w:rPr>
                <w:rFonts w:ascii="Arial" w:hAnsi="Arial" w:cs="Arial"/>
                <w:color w:val="000000"/>
              </w:rPr>
              <w:t xml:space="preserve"> </w:t>
            </w:r>
            <w:r w:rsidRPr="005208B7">
              <w:rPr>
                <w:rFonts w:ascii="Arial" w:hAnsi="Arial" w:cs="Arial"/>
                <w:color w:val="000000"/>
              </w:rPr>
              <w:t xml:space="preserve">of proposals (including systems for continuous feedback to contract manager, strength of proposed project management and risk management arrangements, timetable, awareness of ethics and data protection issues, flexibility to respond to changing requirements and quality assurance processes).  </w:t>
            </w:r>
            <w:r w:rsidRPr="005208B7">
              <w:rPr>
                <w:rFonts w:ascii="Arial" w:hAnsi="Arial" w:cs="Arial"/>
                <w:b/>
                <w:i/>
                <w:color w:val="000000"/>
              </w:rPr>
              <w:t>Ability to meet the deadlines involved in this project will be particularly important in this assessment</w:t>
            </w:r>
          </w:p>
        </w:tc>
        <w:tc>
          <w:tcPr>
            <w:tcW w:w="1418" w:type="dxa"/>
            <w:tcBorders>
              <w:top w:val="single" w:sz="8" w:space="0" w:color="000000"/>
              <w:left w:val="single" w:sz="8" w:space="0" w:color="000000"/>
              <w:bottom w:val="single" w:sz="8" w:space="0" w:color="000000"/>
            </w:tcBorders>
          </w:tcPr>
          <w:p w14:paraId="4746A1CD" w14:textId="34A34C23" w:rsidR="00923391" w:rsidRPr="005208B7" w:rsidRDefault="005B65DA" w:rsidP="00164CAB">
            <w:pPr>
              <w:autoSpaceDE w:val="0"/>
              <w:autoSpaceDN w:val="0"/>
              <w:adjustRightInd w:val="0"/>
              <w:ind w:right="95"/>
              <w:rPr>
                <w:rFonts w:ascii="Arial" w:hAnsi="Arial" w:cs="Arial"/>
                <w:color w:val="000000"/>
              </w:rPr>
            </w:pPr>
            <w:r>
              <w:rPr>
                <w:rFonts w:ascii="Arial" w:hAnsi="Arial" w:cs="Arial"/>
                <w:color w:val="000000"/>
              </w:rPr>
              <w:t>15</w:t>
            </w:r>
            <w:r w:rsidR="00923391">
              <w:rPr>
                <w:rFonts w:ascii="Arial" w:hAnsi="Arial" w:cs="Arial"/>
                <w:color w:val="000000"/>
              </w:rPr>
              <w:t>%</w:t>
            </w:r>
          </w:p>
        </w:tc>
      </w:tr>
      <w:tr w:rsidR="00F23351" w:rsidRPr="005208B7" w14:paraId="660F4001" w14:textId="163F9053" w:rsidTr="00D05995">
        <w:trPr>
          <w:trHeight w:val="297"/>
        </w:trPr>
        <w:tc>
          <w:tcPr>
            <w:tcW w:w="567" w:type="dxa"/>
            <w:tcBorders>
              <w:top w:val="single" w:sz="8" w:space="0" w:color="000000"/>
              <w:bottom w:val="single" w:sz="8" w:space="0" w:color="000000"/>
              <w:right w:val="single" w:sz="8" w:space="0" w:color="000000"/>
            </w:tcBorders>
          </w:tcPr>
          <w:p w14:paraId="6F060AB8" w14:textId="4CCB3B24" w:rsidR="00F23351" w:rsidRDefault="00596236" w:rsidP="00164CAB">
            <w:pPr>
              <w:autoSpaceDE w:val="0"/>
              <w:autoSpaceDN w:val="0"/>
              <w:adjustRightInd w:val="0"/>
              <w:ind w:right="95"/>
              <w:rPr>
                <w:rFonts w:ascii="Arial" w:hAnsi="Arial" w:cs="Arial"/>
                <w:b/>
                <w:bCs/>
                <w:color w:val="000000"/>
              </w:rPr>
            </w:pPr>
            <w:r>
              <w:rPr>
                <w:rFonts w:ascii="Arial" w:hAnsi="Arial" w:cs="Arial"/>
                <w:b/>
                <w:bCs/>
                <w:color w:val="000000"/>
              </w:rPr>
              <w:t>3</w:t>
            </w:r>
          </w:p>
        </w:tc>
        <w:tc>
          <w:tcPr>
            <w:tcW w:w="6804" w:type="dxa"/>
            <w:tcBorders>
              <w:top w:val="single" w:sz="8" w:space="0" w:color="000000"/>
              <w:left w:val="single" w:sz="8" w:space="0" w:color="000000"/>
              <w:bottom w:val="single" w:sz="8" w:space="0" w:color="000000"/>
              <w:right w:val="single" w:sz="8" w:space="0" w:color="000000"/>
            </w:tcBorders>
          </w:tcPr>
          <w:p w14:paraId="55D61799" w14:textId="201A4920" w:rsidR="00F23351" w:rsidRPr="005208B7" w:rsidRDefault="00F23351" w:rsidP="00164CAB">
            <w:pPr>
              <w:autoSpaceDE w:val="0"/>
              <w:autoSpaceDN w:val="0"/>
              <w:adjustRightInd w:val="0"/>
              <w:spacing w:after="0" w:line="240" w:lineRule="auto"/>
              <w:ind w:right="95"/>
              <w:rPr>
                <w:rFonts w:ascii="Arial" w:hAnsi="Arial" w:cs="Arial"/>
                <w:color w:val="000000"/>
              </w:rPr>
            </w:pPr>
            <w:r>
              <w:rPr>
                <w:rFonts w:ascii="Arial" w:hAnsi="Arial" w:cs="Arial"/>
                <w:color w:val="000000"/>
              </w:rPr>
              <w:t xml:space="preserve">Evidence of experience in conducting reviews of literature/ research </w:t>
            </w:r>
            <w:r w:rsidR="005B65DA">
              <w:rPr>
                <w:rFonts w:ascii="Arial" w:hAnsi="Arial" w:cs="Arial"/>
                <w:color w:val="000000"/>
              </w:rPr>
              <w:t>e</w:t>
            </w:r>
            <w:r>
              <w:rPr>
                <w:rFonts w:ascii="Arial" w:hAnsi="Arial" w:cs="Arial"/>
                <w:color w:val="000000"/>
              </w:rPr>
              <w:t>vidence</w:t>
            </w:r>
          </w:p>
        </w:tc>
        <w:tc>
          <w:tcPr>
            <w:tcW w:w="1418" w:type="dxa"/>
            <w:tcBorders>
              <w:top w:val="single" w:sz="8" w:space="0" w:color="000000"/>
              <w:left w:val="single" w:sz="8" w:space="0" w:color="000000"/>
              <w:bottom w:val="single" w:sz="8" w:space="0" w:color="000000"/>
              <w:right w:val="single" w:sz="4" w:space="0" w:color="auto"/>
            </w:tcBorders>
          </w:tcPr>
          <w:p w14:paraId="11543202" w14:textId="36752A52" w:rsidR="00F23351" w:rsidRDefault="001865F5" w:rsidP="00164CAB">
            <w:pPr>
              <w:autoSpaceDE w:val="0"/>
              <w:autoSpaceDN w:val="0"/>
              <w:adjustRightInd w:val="0"/>
              <w:ind w:right="95"/>
              <w:rPr>
                <w:rFonts w:ascii="Arial" w:hAnsi="Arial" w:cs="Arial"/>
                <w:color w:val="000000"/>
              </w:rPr>
            </w:pPr>
            <w:r>
              <w:rPr>
                <w:rFonts w:ascii="Arial" w:hAnsi="Arial" w:cs="Arial"/>
                <w:color w:val="000000"/>
              </w:rPr>
              <w:t>2</w:t>
            </w:r>
            <w:r w:rsidR="005B65DA">
              <w:rPr>
                <w:rFonts w:ascii="Arial" w:hAnsi="Arial" w:cs="Arial"/>
                <w:color w:val="000000"/>
              </w:rPr>
              <w:t>5</w:t>
            </w:r>
            <w:r w:rsidR="00F23351">
              <w:rPr>
                <w:rFonts w:ascii="Arial" w:hAnsi="Arial" w:cs="Arial"/>
                <w:color w:val="000000"/>
              </w:rPr>
              <w:t>%</w:t>
            </w:r>
          </w:p>
        </w:tc>
        <w:tc>
          <w:tcPr>
            <w:tcW w:w="1559" w:type="dxa"/>
            <w:tcBorders>
              <w:left w:val="single" w:sz="4" w:space="0" w:color="auto"/>
            </w:tcBorders>
          </w:tcPr>
          <w:p w14:paraId="1F908085" w14:textId="7E224A64" w:rsidR="00F23351" w:rsidRPr="005208B7" w:rsidRDefault="00F23351" w:rsidP="00164CAB">
            <w:pPr>
              <w:ind w:right="95"/>
            </w:pPr>
          </w:p>
        </w:tc>
      </w:tr>
      <w:tr w:rsidR="00F23351" w:rsidRPr="005208B7" w14:paraId="29EE4579" w14:textId="77777777" w:rsidTr="00D05995">
        <w:trPr>
          <w:gridAfter w:val="1"/>
          <w:wAfter w:w="1559" w:type="dxa"/>
          <w:trHeight w:val="711"/>
        </w:trPr>
        <w:tc>
          <w:tcPr>
            <w:tcW w:w="567" w:type="dxa"/>
            <w:tcBorders>
              <w:top w:val="single" w:sz="8" w:space="0" w:color="000000"/>
              <w:bottom w:val="single" w:sz="8" w:space="0" w:color="000000"/>
              <w:right w:val="single" w:sz="8" w:space="0" w:color="000000"/>
            </w:tcBorders>
          </w:tcPr>
          <w:p w14:paraId="29D399CA" w14:textId="77777777" w:rsidR="00F23351" w:rsidRPr="005208B7" w:rsidRDefault="00F23351" w:rsidP="00164CAB">
            <w:pPr>
              <w:autoSpaceDE w:val="0"/>
              <w:autoSpaceDN w:val="0"/>
              <w:adjustRightInd w:val="0"/>
              <w:ind w:right="95"/>
              <w:rPr>
                <w:rFonts w:ascii="Arial" w:hAnsi="Arial" w:cs="Arial"/>
                <w:b/>
                <w:bCs/>
                <w:color w:val="000000"/>
              </w:rPr>
            </w:pPr>
            <w:r>
              <w:rPr>
                <w:rFonts w:ascii="Arial" w:hAnsi="Arial" w:cs="Arial"/>
                <w:b/>
                <w:bCs/>
                <w:color w:val="000000"/>
              </w:rPr>
              <w:t>4</w:t>
            </w:r>
          </w:p>
        </w:tc>
        <w:tc>
          <w:tcPr>
            <w:tcW w:w="6804" w:type="dxa"/>
            <w:tcBorders>
              <w:top w:val="single" w:sz="8" w:space="0" w:color="000000"/>
              <w:left w:val="single" w:sz="8" w:space="0" w:color="000000"/>
              <w:bottom w:val="single" w:sz="8" w:space="0" w:color="000000"/>
              <w:right w:val="single" w:sz="8" w:space="0" w:color="000000"/>
            </w:tcBorders>
          </w:tcPr>
          <w:p w14:paraId="1643C273" w14:textId="2B740933" w:rsidR="00F23351" w:rsidRPr="005208B7" w:rsidRDefault="00F23351" w:rsidP="00164CAB">
            <w:pPr>
              <w:autoSpaceDE w:val="0"/>
              <w:autoSpaceDN w:val="0"/>
              <w:adjustRightInd w:val="0"/>
              <w:spacing w:after="0" w:line="240" w:lineRule="auto"/>
              <w:ind w:right="95"/>
              <w:rPr>
                <w:rFonts w:ascii="Arial" w:hAnsi="Arial" w:cs="Arial"/>
                <w:color w:val="000000"/>
              </w:rPr>
            </w:pPr>
            <w:r w:rsidRPr="005208B7">
              <w:rPr>
                <w:rFonts w:ascii="Arial" w:hAnsi="Arial" w:cs="Arial"/>
                <w:color w:val="000000"/>
              </w:rPr>
              <w:t>Evidence of knowledge of the Sentencing Council, its guidelines and sentencing issues</w:t>
            </w:r>
            <w:r>
              <w:rPr>
                <w:rFonts w:ascii="Arial" w:hAnsi="Arial" w:cs="Arial"/>
                <w:color w:val="000000"/>
              </w:rPr>
              <w:t xml:space="preserve">, </w:t>
            </w:r>
            <w:r w:rsidR="008A60EC">
              <w:rPr>
                <w:rFonts w:ascii="Arial" w:hAnsi="Arial" w:cs="Arial"/>
                <w:color w:val="000000"/>
              </w:rPr>
              <w:t xml:space="preserve">including the purposes of sentencing </w:t>
            </w:r>
          </w:p>
        </w:tc>
        <w:tc>
          <w:tcPr>
            <w:tcW w:w="1418" w:type="dxa"/>
            <w:tcBorders>
              <w:top w:val="single" w:sz="8" w:space="0" w:color="000000"/>
              <w:left w:val="single" w:sz="8" w:space="0" w:color="000000"/>
              <w:bottom w:val="single" w:sz="8" w:space="0" w:color="000000"/>
            </w:tcBorders>
          </w:tcPr>
          <w:p w14:paraId="40878461" w14:textId="02264472" w:rsidR="00F23351" w:rsidRPr="005208B7" w:rsidRDefault="008A60EC" w:rsidP="00164CAB">
            <w:pPr>
              <w:autoSpaceDE w:val="0"/>
              <w:autoSpaceDN w:val="0"/>
              <w:adjustRightInd w:val="0"/>
              <w:ind w:right="95"/>
              <w:rPr>
                <w:rFonts w:ascii="Arial" w:hAnsi="Arial" w:cs="Arial"/>
                <w:color w:val="000000"/>
              </w:rPr>
            </w:pPr>
            <w:r>
              <w:rPr>
                <w:rFonts w:ascii="Arial" w:hAnsi="Arial" w:cs="Arial"/>
                <w:color w:val="000000"/>
              </w:rPr>
              <w:t>20</w:t>
            </w:r>
            <w:r w:rsidR="00F23351">
              <w:rPr>
                <w:rFonts w:ascii="Arial" w:hAnsi="Arial" w:cs="Arial"/>
                <w:color w:val="000000"/>
              </w:rPr>
              <w:t>%</w:t>
            </w:r>
          </w:p>
        </w:tc>
      </w:tr>
      <w:tr w:rsidR="00F23351" w:rsidRPr="005208B7" w14:paraId="77CCBE4F" w14:textId="77777777" w:rsidTr="00D05995">
        <w:trPr>
          <w:gridAfter w:val="1"/>
          <w:wAfter w:w="1559" w:type="dxa"/>
          <w:trHeight w:val="387"/>
        </w:trPr>
        <w:tc>
          <w:tcPr>
            <w:tcW w:w="567" w:type="dxa"/>
            <w:tcBorders>
              <w:top w:val="single" w:sz="8" w:space="0" w:color="000000"/>
              <w:bottom w:val="single" w:sz="8" w:space="0" w:color="000000"/>
              <w:right w:val="single" w:sz="8" w:space="0" w:color="000000"/>
            </w:tcBorders>
          </w:tcPr>
          <w:p w14:paraId="34EBEA54" w14:textId="77777777" w:rsidR="00F23351" w:rsidRPr="005208B7" w:rsidRDefault="00F23351" w:rsidP="00164CAB">
            <w:pPr>
              <w:autoSpaceDE w:val="0"/>
              <w:autoSpaceDN w:val="0"/>
              <w:adjustRightInd w:val="0"/>
              <w:ind w:right="95"/>
              <w:rPr>
                <w:rFonts w:ascii="Arial" w:hAnsi="Arial" w:cs="Arial"/>
                <w:b/>
                <w:bCs/>
                <w:color w:val="000000"/>
              </w:rPr>
            </w:pPr>
            <w:r>
              <w:rPr>
                <w:rFonts w:ascii="Arial" w:hAnsi="Arial" w:cs="Arial"/>
                <w:b/>
                <w:bCs/>
                <w:color w:val="000000"/>
              </w:rPr>
              <w:t>5</w:t>
            </w:r>
          </w:p>
        </w:tc>
        <w:tc>
          <w:tcPr>
            <w:tcW w:w="6804" w:type="dxa"/>
            <w:tcBorders>
              <w:top w:val="single" w:sz="8" w:space="0" w:color="000000"/>
              <w:left w:val="single" w:sz="8" w:space="0" w:color="000000"/>
              <w:bottom w:val="single" w:sz="8" w:space="0" w:color="000000"/>
              <w:right w:val="single" w:sz="8" w:space="0" w:color="000000"/>
            </w:tcBorders>
          </w:tcPr>
          <w:p w14:paraId="59897B45" w14:textId="034B1076" w:rsidR="00522F50" w:rsidRPr="00522F50" w:rsidRDefault="00033503" w:rsidP="00164CAB">
            <w:pPr>
              <w:autoSpaceDE w:val="0"/>
              <w:autoSpaceDN w:val="0"/>
              <w:adjustRightInd w:val="0"/>
              <w:spacing w:after="0" w:line="240" w:lineRule="auto"/>
              <w:ind w:right="95"/>
              <w:rPr>
                <w:rFonts w:ascii="Arial" w:hAnsi="Arial" w:cs="Arial"/>
                <w:color w:val="000000"/>
              </w:rPr>
            </w:pPr>
            <w:r>
              <w:rPr>
                <w:rFonts w:ascii="Arial" w:hAnsi="Arial" w:cs="Arial"/>
                <w:color w:val="000000"/>
              </w:rPr>
              <w:t>Overall value for money</w:t>
            </w:r>
          </w:p>
        </w:tc>
        <w:tc>
          <w:tcPr>
            <w:tcW w:w="1418" w:type="dxa"/>
            <w:tcBorders>
              <w:top w:val="single" w:sz="8" w:space="0" w:color="000000"/>
              <w:left w:val="single" w:sz="8" w:space="0" w:color="000000"/>
              <w:bottom w:val="single" w:sz="8" w:space="0" w:color="000000"/>
            </w:tcBorders>
          </w:tcPr>
          <w:p w14:paraId="0A4AEF58" w14:textId="2AF90200" w:rsidR="00F23351" w:rsidRDefault="00EF2301" w:rsidP="00164CAB">
            <w:pPr>
              <w:autoSpaceDE w:val="0"/>
              <w:autoSpaceDN w:val="0"/>
              <w:adjustRightInd w:val="0"/>
              <w:ind w:right="95"/>
              <w:rPr>
                <w:rFonts w:ascii="Arial" w:hAnsi="Arial" w:cs="Arial"/>
                <w:color w:val="000000"/>
              </w:rPr>
            </w:pPr>
            <w:r>
              <w:rPr>
                <w:rFonts w:ascii="Arial" w:hAnsi="Arial" w:cs="Arial"/>
                <w:color w:val="000000"/>
              </w:rPr>
              <w:t>20%</w:t>
            </w:r>
          </w:p>
        </w:tc>
      </w:tr>
    </w:tbl>
    <w:p w14:paraId="04ADD783" w14:textId="77777777" w:rsidR="00923391" w:rsidRDefault="00923391" w:rsidP="00164CAB">
      <w:pPr>
        <w:autoSpaceDE w:val="0"/>
        <w:autoSpaceDN w:val="0"/>
        <w:adjustRightInd w:val="0"/>
        <w:ind w:right="95"/>
        <w:rPr>
          <w:rFonts w:ascii="Arial" w:hAnsi="Arial" w:cs="Arial"/>
          <w:iCs/>
          <w:color w:val="000000"/>
        </w:rPr>
      </w:pPr>
    </w:p>
    <w:tbl>
      <w:tblPr>
        <w:tblW w:w="8789" w:type="dxa"/>
        <w:tblInd w:w="137" w:type="dxa"/>
        <w:tblLook w:val="04A0" w:firstRow="1" w:lastRow="0" w:firstColumn="1" w:lastColumn="0" w:noHBand="0" w:noVBand="1"/>
      </w:tblPr>
      <w:tblGrid>
        <w:gridCol w:w="709"/>
        <w:gridCol w:w="850"/>
        <w:gridCol w:w="7230"/>
      </w:tblGrid>
      <w:tr w:rsidR="00C72E5F" w:rsidRPr="006472B7" w14:paraId="499E9468" w14:textId="77777777" w:rsidTr="005E3A5F">
        <w:trPr>
          <w:trHeight w:val="136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155CA" w14:textId="77777777" w:rsidR="00C72E5F" w:rsidRPr="006472B7" w:rsidRDefault="00C72E5F" w:rsidP="00164CAB">
            <w:pPr>
              <w:ind w:right="95"/>
              <w:rPr>
                <w:rFonts w:ascii="Arial" w:hAnsi="Arial" w:cs="Arial"/>
                <w:b/>
                <w:bCs/>
                <w:sz w:val="20"/>
                <w:szCs w:val="20"/>
              </w:rPr>
            </w:pPr>
            <w:r w:rsidRPr="006472B7">
              <w:rPr>
                <w:rFonts w:ascii="Arial" w:hAnsi="Arial" w:cs="Arial"/>
                <w:b/>
                <w:bCs/>
                <w:sz w:val="20"/>
                <w:szCs w:val="20"/>
              </w:rPr>
              <w:t>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D64CC60" w14:textId="77777777" w:rsidR="00C72E5F" w:rsidRPr="006472B7" w:rsidRDefault="00C72E5F" w:rsidP="00164CAB">
            <w:pPr>
              <w:ind w:right="95"/>
              <w:rPr>
                <w:rFonts w:ascii="Arial" w:hAnsi="Arial" w:cs="Arial"/>
                <w:b/>
                <w:bCs/>
                <w:sz w:val="20"/>
                <w:szCs w:val="20"/>
              </w:rPr>
            </w:pPr>
            <w:r w:rsidRPr="006472B7">
              <w:rPr>
                <w:rFonts w:ascii="Arial" w:hAnsi="Arial" w:cs="Arial"/>
                <w:b/>
                <w:bCs/>
                <w:sz w:val="20"/>
                <w:szCs w:val="20"/>
              </w:rPr>
              <w:t>100</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14:paraId="6F0135DF" w14:textId="77777777" w:rsidR="00C72E5F" w:rsidRDefault="00C72E5F" w:rsidP="00164CAB">
            <w:pPr>
              <w:spacing w:after="0" w:line="240" w:lineRule="auto"/>
              <w:ind w:right="96"/>
              <w:rPr>
                <w:rFonts w:ascii="Arial" w:hAnsi="Arial" w:cs="Arial"/>
                <w:sz w:val="20"/>
                <w:szCs w:val="20"/>
              </w:rPr>
            </w:pPr>
            <w:r w:rsidRPr="006472B7">
              <w:rPr>
                <w:rFonts w:ascii="Arial" w:hAnsi="Arial" w:cs="Arial"/>
                <w:b/>
                <w:bCs/>
                <w:sz w:val="20"/>
                <w:szCs w:val="20"/>
              </w:rPr>
              <w:t xml:space="preserve">Excellent  </w:t>
            </w:r>
            <w:r w:rsidRPr="006472B7">
              <w:rPr>
                <w:rFonts w:ascii="Arial" w:hAnsi="Arial" w:cs="Arial"/>
                <w:sz w:val="20"/>
                <w:szCs w:val="20"/>
              </w:rPr>
              <w:t xml:space="preserve">     </w:t>
            </w:r>
            <w:r w:rsidRPr="006472B7">
              <w:rPr>
                <w:rFonts w:ascii="Arial" w:hAnsi="Arial" w:cs="Arial"/>
                <w:sz w:val="20"/>
                <w:szCs w:val="20"/>
              </w:rPr>
              <w:br/>
              <w:t xml:space="preserve">Exceeds the requirement. Exceptional demonstration by the Supplier of the </w:t>
            </w:r>
          </w:p>
          <w:p w14:paraId="1C7C924B" w14:textId="77777777" w:rsidR="00C72E5F" w:rsidRDefault="00C72E5F" w:rsidP="00164CAB">
            <w:pPr>
              <w:spacing w:after="0" w:line="240" w:lineRule="auto"/>
              <w:ind w:right="96"/>
              <w:rPr>
                <w:rFonts w:ascii="Arial" w:hAnsi="Arial" w:cs="Arial"/>
                <w:sz w:val="20"/>
                <w:szCs w:val="20"/>
              </w:rPr>
            </w:pPr>
            <w:r w:rsidRPr="006472B7">
              <w:rPr>
                <w:rFonts w:ascii="Arial" w:hAnsi="Arial" w:cs="Arial"/>
                <w:sz w:val="20"/>
                <w:szCs w:val="20"/>
              </w:rPr>
              <w:t xml:space="preserve">relevant ability, understanding, experience, skills, resource and quality </w:t>
            </w:r>
          </w:p>
          <w:p w14:paraId="7204F879" w14:textId="77777777" w:rsidR="00C72E5F" w:rsidRDefault="00C72E5F" w:rsidP="00164CAB">
            <w:pPr>
              <w:spacing w:after="0" w:line="240" w:lineRule="auto"/>
              <w:ind w:right="96"/>
              <w:rPr>
                <w:rFonts w:ascii="Arial" w:hAnsi="Arial" w:cs="Arial"/>
                <w:sz w:val="20"/>
                <w:szCs w:val="20"/>
              </w:rPr>
            </w:pPr>
            <w:r w:rsidRPr="006472B7">
              <w:rPr>
                <w:rFonts w:ascii="Arial" w:hAnsi="Arial" w:cs="Arial"/>
                <w:sz w:val="20"/>
                <w:szCs w:val="20"/>
              </w:rPr>
              <w:t xml:space="preserve">measures required.  Evidence identifies factors that will offer significant added </w:t>
            </w:r>
          </w:p>
          <w:p w14:paraId="43BD20C2" w14:textId="77777777" w:rsidR="00C72E5F" w:rsidRPr="006472B7" w:rsidRDefault="00C72E5F" w:rsidP="00164CAB">
            <w:pPr>
              <w:spacing w:after="0" w:line="240" w:lineRule="auto"/>
              <w:ind w:right="96"/>
              <w:rPr>
                <w:rFonts w:ascii="Arial" w:hAnsi="Arial" w:cs="Arial"/>
                <w:b/>
                <w:bCs/>
                <w:sz w:val="20"/>
                <w:szCs w:val="20"/>
              </w:rPr>
            </w:pPr>
            <w:r w:rsidRPr="006472B7">
              <w:rPr>
                <w:rFonts w:ascii="Arial" w:hAnsi="Arial" w:cs="Arial"/>
                <w:sz w:val="20"/>
                <w:szCs w:val="20"/>
              </w:rPr>
              <w:t xml:space="preserve">value. </w:t>
            </w:r>
          </w:p>
        </w:tc>
      </w:tr>
      <w:tr w:rsidR="00C72E5F" w:rsidRPr="006472B7" w14:paraId="6F6191F6" w14:textId="77777777" w:rsidTr="005E3A5F">
        <w:trPr>
          <w:trHeight w:val="154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3B04321" w14:textId="77777777" w:rsidR="00C72E5F" w:rsidRPr="006472B7" w:rsidRDefault="00C72E5F" w:rsidP="00164CAB">
            <w:pPr>
              <w:ind w:right="95"/>
              <w:rPr>
                <w:rFonts w:ascii="Arial" w:hAnsi="Arial" w:cs="Arial"/>
                <w:b/>
                <w:bCs/>
                <w:sz w:val="20"/>
                <w:szCs w:val="20"/>
              </w:rPr>
            </w:pPr>
            <w:r w:rsidRPr="006472B7">
              <w:rPr>
                <w:rFonts w:ascii="Arial" w:hAnsi="Arial" w:cs="Arial"/>
                <w:b/>
                <w:bCs/>
                <w:sz w:val="20"/>
                <w:szCs w:val="20"/>
              </w:rPr>
              <w:t>B</w:t>
            </w:r>
          </w:p>
        </w:tc>
        <w:tc>
          <w:tcPr>
            <w:tcW w:w="850" w:type="dxa"/>
            <w:tcBorders>
              <w:top w:val="nil"/>
              <w:left w:val="nil"/>
              <w:bottom w:val="single" w:sz="4" w:space="0" w:color="auto"/>
              <w:right w:val="single" w:sz="4" w:space="0" w:color="auto"/>
            </w:tcBorders>
            <w:shd w:val="clear" w:color="auto" w:fill="auto"/>
            <w:noWrap/>
            <w:vAlign w:val="center"/>
            <w:hideMark/>
          </w:tcPr>
          <w:p w14:paraId="7C0C31A9" w14:textId="77777777" w:rsidR="00C72E5F" w:rsidRPr="006472B7" w:rsidRDefault="00C72E5F" w:rsidP="00164CAB">
            <w:pPr>
              <w:ind w:right="95"/>
              <w:rPr>
                <w:rFonts w:ascii="Arial" w:hAnsi="Arial" w:cs="Arial"/>
                <w:b/>
                <w:bCs/>
                <w:sz w:val="20"/>
                <w:szCs w:val="20"/>
              </w:rPr>
            </w:pPr>
            <w:r w:rsidRPr="006472B7">
              <w:rPr>
                <w:rFonts w:ascii="Arial" w:hAnsi="Arial" w:cs="Arial"/>
                <w:b/>
                <w:bCs/>
                <w:sz w:val="20"/>
                <w:szCs w:val="20"/>
              </w:rPr>
              <w:t>90</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14:paraId="1BB44FAE" w14:textId="0B74436D" w:rsidR="00C72E5F" w:rsidRPr="007903A0" w:rsidRDefault="00C72E5F" w:rsidP="00D05995">
            <w:pPr>
              <w:spacing w:after="0" w:line="240" w:lineRule="auto"/>
              <w:ind w:right="96"/>
              <w:rPr>
                <w:rFonts w:ascii="Arial" w:hAnsi="Arial" w:cs="Arial"/>
                <w:sz w:val="20"/>
                <w:szCs w:val="20"/>
              </w:rPr>
            </w:pPr>
            <w:r w:rsidRPr="006472B7">
              <w:rPr>
                <w:rFonts w:ascii="Arial" w:hAnsi="Arial" w:cs="Arial"/>
                <w:b/>
                <w:bCs/>
                <w:sz w:val="20"/>
                <w:szCs w:val="20"/>
              </w:rPr>
              <w:t xml:space="preserve">Good </w:t>
            </w:r>
            <w:r w:rsidRPr="006472B7">
              <w:rPr>
                <w:rFonts w:ascii="Arial" w:hAnsi="Arial" w:cs="Arial"/>
                <w:sz w:val="20"/>
                <w:szCs w:val="20"/>
              </w:rPr>
              <w:t xml:space="preserve">   </w:t>
            </w:r>
            <w:r w:rsidRPr="006472B7">
              <w:rPr>
                <w:rFonts w:ascii="Arial" w:hAnsi="Arial" w:cs="Arial"/>
                <w:sz w:val="20"/>
                <w:szCs w:val="20"/>
              </w:rPr>
              <w:br/>
              <w:t xml:space="preserve">Satisfies the requirement and offers some additional benefits.  Above average demonstration by the Supplier of the relevant ability, understanding, experience, skills, resource and quality measures required.  Evidence identifies factors that will offer some added value. </w:t>
            </w:r>
          </w:p>
        </w:tc>
      </w:tr>
      <w:tr w:rsidR="00C72E5F" w:rsidRPr="006472B7" w14:paraId="14FBDEB9" w14:textId="77777777" w:rsidTr="005E3A5F">
        <w:trPr>
          <w:trHeight w:val="88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297CB6" w14:textId="77777777" w:rsidR="00C72E5F" w:rsidRPr="006472B7" w:rsidRDefault="00C72E5F" w:rsidP="00164CAB">
            <w:pPr>
              <w:ind w:right="95"/>
              <w:rPr>
                <w:rFonts w:ascii="Arial" w:hAnsi="Arial" w:cs="Arial"/>
                <w:b/>
                <w:bCs/>
                <w:sz w:val="20"/>
                <w:szCs w:val="20"/>
              </w:rPr>
            </w:pPr>
            <w:r w:rsidRPr="006472B7">
              <w:rPr>
                <w:rFonts w:ascii="Arial" w:hAnsi="Arial" w:cs="Arial"/>
                <w:b/>
                <w:bCs/>
                <w:sz w:val="20"/>
                <w:szCs w:val="20"/>
              </w:rPr>
              <w:t>C</w:t>
            </w:r>
          </w:p>
        </w:tc>
        <w:tc>
          <w:tcPr>
            <w:tcW w:w="850" w:type="dxa"/>
            <w:tcBorders>
              <w:top w:val="nil"/>
              <w:left w:val="nil"/>
              <w:bottom w:val="single" w:sz="4" w:space="0" w:color="auto"/>
              <w:right w:val="single" w:sz="4" w:space="0" w:color="auto"/>
            </w:tcBorders>
            <w:shd w:val="clear" w:color="auto" w:fill="auto"/>
            <w:vAlign w:val="center"/>
            <w:hideMark/>
          </w:tcPr>
          <w:p w14:paraId="0BA20CCA" w14:textId="77777777" w:rsidR="00C72E5F" w:rsidRPr="006472B7" w:rsidRDefault="00C72E5F" w:rsidP="00164CAB">
            <w:pPr>
              <w:ind w:right="95"/>
              <w:rPr>
                <w:rFonts w:ascii="Arial" w:hAnsi="Arial" w:cs="Arial"/>
                <w:b/>
                <w:bCs/>
                <w:sz w:val="20"/>
                <w:szCs w:val="20"/>
              </w:rPr>
            </w:pPr>
            <w:r w:rsidRPr="006472B7">
              <w:rPr>
                <w:rFonts w:ascii="Arial" w:hAnsi="Arial" w:cs="Arial"/>
                <w:b/>
                <w:bCs/>
                <w:sz w:val="20"/>
                <w:szCs w:val="20"/>
              </w:rPr>
              <w:t>80</w:t>
            </w:r>
          </w:p>
        </w:tc>
        <w:tc>
          <w:tcPr>
            <w:tcW w:w="7230" w:type="dxa"/>
            <w:tcBorders>
              <w:top w:val="single" w:sz="4" w:space="0" w:color="auto"/>
              <w:left w:val="nil"/>
              <w:bottom w:val="single" w:sz="4" w:space="0" w:color="auto"/>
              <w:right w:val="single" w:sz="4" w:space="0" w:color="000000"/>
            </w:tcBorders>
            <w:shd w:val="clear" w:color="auto" w:fill="auto"/>
            <w:hideMark/>
          </w:tcPr>
          <w:p w14:paraId="1F424F7F" w14:textId="77777777" w:rsidR="00D05995" w:rsidRDefault="00D05995" w:rsidP="00164CAB">
            <w:pPr>
              <w:spacing w:after="0" w:line="240" w:lineRule="auto"/>
              <w:ind w:right="96"/>
              <w:rPr>
                <w:rFonts w:ascii="Arial" w:hAnsi="Arial" w:cs="Arial"/>
                <w:b/>
                <w:bCs/>
                <w:sz w:val="20"/>
                <w:szCs w:val="20"/>
              </w:rPr>
            </w:pPr>
          </w:p>
          <w:p w14:paraId="138F37A4" w14:textId="4DF06B04" w:rsidR="00C72E5F" w:rsidRDefault="00C72E5F" w:rsidP="00164CAB">
            <w:pPr>
              <w:spacing w:after="0" w:line="240" w:lineRule="auto"/>
              <w:ind w:right="96"/>
              <w:rPr>
                <w:rFonts w:ascii="Arial" w:hAnsi="Arial" w:cs="Arial"/>
                <w:sz w:val="20"/>
                <w:szCs w:val="20"/>
              </w:rPr>
            </w:pPr>
            <w:r w:rsidRPr="006472B7">
              <w:rPr>
                <w:rFonts w:ascii="Arial" w:hAnsi="Arial" w:cs="Arial"/>
                <w:b/>
                <w:bCs/>
                <w:sz w:val="20"/>
                <w:szCs w:val="20"/>
              </w:rPr>
              <w:t>Acceptable</w:t>
            </w:r>
            <w:r w:rsidRPr="006472B7">
              <w:rPr>
                <w:rFonts w:ascii="Arial" w:hAnsi="Arial" w:cs="Arial"/>
                <w:sz w:val="20"/>
                <w:szCs w:val="20"/>
              </w:rPr>
              <w:t xml:space="preserve">      </w:t>
            </w:r>
            <w:r w:rsidRPr="006472B7">
              <w:rPr>
                <w:rFonts w:ascii="Arial" w:hAnsi="Arial" w:cs="Arial"/>
                <w:sz w:val="20"/>
                <w:szCs w:val="20"/>
              </w:rPr>
              <w:br/>
              <w:t xml:space="preserve">Satisfies the requirement. Demonstration by the Supplier of the relevant ability, understanding, experience, skills, resource and quality measures required.  </w:t>
            </w:r>
          </w:p>
          <w:p w14:paraId="1B4654EB" w14:textId="77777777" w:rsidR="00D05995" w:rsidRDefault="00D05995" w:rsidP="00164CAB">
            <w:pPr>
              <w:spacing w:after="0" w:line="240" w:lineRule="auto"/>
              <w:ind w:right="96"/>
              <w:rPr>
                <w:rFonts w:ascii="Arial" w:hAnsi="Arial" w:cs="Arial"/>
                <w:sz w:val="20"/>
                <w:szCs w:val="20"/>
              </w:rPr>
            </w:pPr>
          </w:p>
          <w:p w14:paraId="62D15D79" w14:textId="064B5882" w:rsidR="00D05995" w:rsidRPr="006472B7" w:rsidRDefault="00D05995" w:rsidP="00164CAB">
            <w:pPr>
              <w:spacing w:after="0" w:line="240" w:lineRule="auto"/>
              <w:ind w:right="96"/>
              <w:rPr>
                <w:rFonts w:ascii="Arial" w:hAnsi="Arial" w:cs="Arial"/>
                <w:b/>
                <w:bCs/>
                <w:sz w:val="20"/>
                <w:szCs w:val="20"/>
              </w:rPr>
            </w:pPr>
          </w:p>
        </w:tc>
      </w:tr>
      <w:tr w:rsidR="00C72E5F" w:rsidRPr="006472B7" w14:paraId="17D5637F" w14:textId="77777777" w:rsidTr="005E3A5F">
        <w:trPr>
          <w:trHeight w:val="14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D9C2B09" w14:textId="77777777" w:rsidR="00C72E5F" w:rsidRPr="006472B7" w:rsidRDefault="00C72E5F" w:rsidP="00164CAB">
            <w:pPr>
              <w:ind w:right="95"/>
              <w:rPr>
                <w:rFonts w:ascii="Arial" w:hAnsi="Arial" w:cs="Arial"/>
                <w:b/>
                <w:bCs/>
                <w:sz w:val="20"/>
                <w:szCs w:val="20"/>
              </w:rPr>
            </w:pPr>
            <w:r w:rsidRPr="006472B7">
              <w:rPr>
                <w:rFonts w:ascii="Arial" w:hAnsi="Arial" w:cs="Arial"/>
                <w:b/>
                <w:bCs/>
                <w:sz w:val="20"/>
                <w:szCs w:val="20"/>
              </w:rPr>
              <w:t>D</w:t>
            </w:r>
          </w:p>
        </w:tc>
        <w:tc>
          <w:tcPr>
            <w:tcW w:w="850" w:type="dxa"/>
            <w:tcBorders>
              <w:top w:val="nil"/>
              <w:left w:val="nil"/>
              <w:bottom w:val="single" w:sz="4" w:space="0" w:color="auto"/>
              <w:right w:val="single" w:sz="4" w:space="0" w:color="auto"/>
            </w:tcBorders>
            <w:shd w:val="clear" w:color="auto" w:fill="auto"/>
            <w:vAlign w:val="center"/>
            <w:hideMark/>
          </w:tcPr>
          <w:p w14:paraId="0B2BCB38" w14:textId="77777777" w:rsidR="00C72E5F" w:rsidRPr="006472B7" w:rsidRDefault="00C72E5F" w:rsidP="00164CAB">
            <w:pPr>
              <w:ind w:right="95"/>
              <w:rPr>
                <w:rFonts w:ascii="Arial" w:hAnsi="Arial" w:cs="Arial"/>
                <w:b/>
                <w:bCs/>
                <w:sz w:val="20"/>
                <w:szCs w:val="20"/>
              </w:rPr>
            </w:pPr>
            <w:r w:rsidRPr="006472B7">
              <w:rPr>
                <w:rFonts w:ascii="Arial" w:hAnsi="Arial" w:cs="Arial"/>
                <w:b/>
                <w:bCs/>
                <w:sz w:val="20"/>
                <w:szCs w:val="20"/>
              </w:rPr>
              <w:t>70</w:t>
            </w:r>
          </w:p>
        </w:tc>
        <w:tc>
          <w:tcPr>
            <w:tcW w:w="7230" w:type="dxa"/>
            <w:tcBorders>
              <w:top w:val="single" w:sz="4" w:space="0" w:color="auto"/>
              <w:left w:val="nil"/>
              <w:bottom w:val="single" w:sz="4" w:space="0" w:color="auto"/>
              <w:right w:val="single" w:sz="4" w:space="0" w:color="auto"/>
            </w:tcBorders>
            <w:shd w:val="clear" w:color="auto" w:fill="auto"/>
            <w:vAlign w:val="center"/>
            <w:hideMark/>
          </w:tcPr>
          <w:p w14:paraId="2A1FD9BE" w14:textId="77777777" w:rsidR="00C72E5F" w:rsidRDefault="00C72E5F" w:rsidP="00164CAB">
            <w:pPr>
              <w:spacing w:after="0" w:line="240" w:lineRule="auto"/>
              <w:ind w:right="96"/>
              <w:rPr>
                <w:rFonts w:ascii="Arial" w:hAnsi="Arial" w:cs="Arial"/>
                <w:sz w:val="20"/>
                <w:szCs w:val="20"/>
              </w:rPr>
            </w:pPr>
            <w:r w:rsidRPr="006472B7">
              <w:rPr>
                <w:rFonts w:ascii="Arial" w:hAnsi="Arial" w:cs="Arial"/>
                <w:b/>
                <w:bCs/>
                <w:sz w:val="20"/>
                <w:szCs w:val="20"/>
              </w:rPr>
              <w:t xml:space="preserve">Minor Reservations </w:t>
            </w:r>
            <w:r w:rsidRPr="006472B7">
              <w:rPr>
                <w:rFonts w:ascii="Arial" w:hAnsi="Arial" w:cs="Arial"/>
                <w:sz w:val="20"/>
                <w:szCs w:val="20"/>
              </w:rPr>
              <w:t xml:space="preserve">     </w:t>
            </w:r>
            <w:r w:rsidRPr="006472B7">
              <w:rPr>
                <w:rFonts w:ascii="Arial" w:hAnsi="Arial" w:cs="Arial"/>
                <w:sz w:val="20"/>
                <w:szCs w:val="20"/>
              </w:rPr>
              <w:br/>
              <w:t xml:space="preserve">Satisfies the requirement with minor reservations. Some minor reservations </w:t>
            </w:r>
          </w:p>
          <w:p w14:paraId="22F122EB" w14:textId="77777777" w:rsidR="00C72E5F" w:rsidRPr="006C442E" w:rsidRDefault="00C72E5F" w:rsidP="00164CAB">
            <w:pPr>
              <w:spacing w:after="0" w:line="240" w:lineRule="auto"/>
              <w:ind w:right="96"/>
              <w:rPr>
                <w:rFonts w:ascii="Arial" w:hAnsi="Arial" w:cs="Arial"/>
                <w:sz w:val="20"/>
                <w:szCs w:val="20"/>
              </w:rPr>
            </w:pPr>
            <w:r w:rsidRPr="006472B7">
              <w:rPr>
                <w:rFonts w:ascii="Arial" w:hAnsi="Arial" w:cs="Arial"/>
                <w:sz w:val="20"/>
                <w:szCs w:val="20"/>
              </w:rPr>
              <w:t>about the Supplier’s relevant ability, understanding, experience, skills,</w:t>
            </w:r>
            <w:r>
              <w:rPr>
                <w:rFonts w:ascii="Arial" w:hAnsi="Arial" w:cs="Arial"/>
                <w:sz w:val="20"/>
                <w:szCs w:val="20"/>
              </w:rPr>
              <w:t xml:space="preserve"> </w:t>
            </w:r>
            <w:r w:rsidRPr="006472B7">
              <w:rPr>
                <w:rFonts w:ascii="Arial" w:hAnsi="Arial" w:cs="Arial"/>
                <w:sz w:val="20"/>
                <w:szCs w:val="20"/>
              </w:rPr>
              <w:t xml:space="preserve">resources and quality measures required.     </w:t>
            </w:r>
          </w:p>
        </w:tc>
      </w:tr>
      <w:tr w:rsidR="00C72E5F" w:rsidRPr="006472B7" w14:paraId="78C7C669" w14:textId="77777777" w:rsidTr="005E3A5F">
        <w:trPr>
          <w:trHeight w:val="10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056B59B" w14:textId="77777777" w:rsidR="00C72E5F" w:rsidRPr="006472B7" w:rsidRDefault="00C72E5F" w:rsidP="00164CAB">
            <w:pPr>
              <w:ind w:right="95"/>
              <w:rPr>
                <w:rFonts w:ascii="Arial" w:hAnsi="Arial" w:cs="Arial"/>
                <w:b/>
                <w:bCs/>
                <w:sz w:val="20"/>
                <w:szCs w:val="20"/>
              </w:rPr>
            </w:pPr>
            <w:r w:rsidRPr="006472B7">
              <w:rPr>
                <w:rFonts w:ascii="Arial" w:hAnsi="Arial" w:cs="Arial"/>
                <w:b/>
                <w:bCs/>
                <w:sz w:val="20"/>
                <w:szCs w:val="20"/>
              </w:rPr>
              <w:t>E</w:t>
            </w:r>
          </w:p>
        </w:tc>
        <w:tc>
          <w:tcPr>
            <w:tcW w:w="850" w:type="dxa"/>
            <w:tcBorders>
              <w:top w:val="nil"/>
              <w:left w:val="nil"/>
              <w:bottom w:val="single" w:sz="4" w:space="0" w:color="auto"/>
              <w:right w:val="single" w:sz="4" w:space="0" w:color="auto"/>
            </w:tcBorders>
            <w:shd w:val="clear" w:color="auto" w:fill="auto"/>
            <w:vAlign w:val="center"/>
            <w:hideMark/>
          </w:tcPr>
          <w:p w14:paraId="4981FD89" w14:textId="77777777" w:rsidR="00C72E5F" w:rsidRPr="006472B7" w:rsidRDefault="00C72E5F" w:rsidP="00164CAB">
            <w:pPr>
              <w:ind w:right="95"/>
              <w:rPr>
                <w:rFonts w:ascii="Arial" w:hAnsi="Arial" w:cs="Arial"/>
                <w:b/>
                <w:bCs/>
                <w:sz w:val="20"/>
                <w:szCs w:val="20"/>
              </w:rPr>
            </w:pPr>
            <w:r w:rsidRPr="006472B7">
              <w:rPr>
                <w:rFonts w:ascii="Arial" w:hAnsi="Arial" w:cs="Arial"/>
                <w:b/>
                <w:bCs/>
                <w:sz w:val="20"/>
                <w:szCs w:val="20"/>
              </w:rPr>
              <w:t>60</w:t>
            </w:r>
          </w:p>
        </w:tc>
        <w:tc>
          <w:tcPr>
            <w:tcW w:w="7230" w:type="dxa"/>
            <w:tcBorders>
              <w:top w:val="single" w:sz="4" w:space="0" w:color="auto"/>
              <w:left w:val="nil"/>
              <w:bottom w:val="single" w:sz="4" w:space="0" w:color="auto"/>
              <w:right w:val="single" w:sz="4" w:space="0" w:color="000000"/>
            </w:tcBorders>
            <w:shd w:val="clear" w:color="auto" w:fill="auto"/>
            <w:hideMark/>
          </w:tcPr>
          <w:p w14:paraId="1B6202F0" w14:textId="77777777" w:rsidR="00D05995" w:rsidRDefault="00D05995" w:rsidP="00164CAB">
            <w:pPr>
              <w:spacing w:after="0" w:line="240" w:lineRule="auto"/>
              <w:ind w:right="96"/>
              <w:rPr>
                <w:rFonts w:ascii="Arial" w:hAnsi="Arial" w:cs="Arial"/>
                <w:b/>
                <w:bCs/>
                <w:sz w:val="20"/>
                <w:szCs w:val="20"/>
              </w:rPr>
            </w:pPr>
          </w:p>
          <w:p w14:paraId="1AE83EEC" w14:textId="74347463" w:rsidR="00C72E5F" w:rsidRDefault="00C72E5F" w:rsidP="00164CAB">
            <w:pPr>
              <w:spacing w:after="0" w:line="240" w:lineRule="auto"/>
              <w:ind w:right="96"/>
              <w:rPr>
                <w:rFonts w:ascii="Arial" w:hAnsi="Arial" w:cs="Arial"/>
                <w:sz w:val="20"/>
                <w:szCs w:val="20"/>
              </w:rPr>
            </w:pPr>
            <w:r w:rsidRPr="006472B7">
              <w:rPr>
                <w:rFonts w:ascii="Arial" w:hAnsi="Arial" w:cs="Arial"/>
                <w:b/>
                <w:bCs/>
                <w:sz w:val="20"/>
                <w:szCs w:val="20"/>
              </w:rPr>
              <w:t xml:space="preserve">Major Reservations </w:t>
            </w:r>
            <w:r w:rsidRPr="006472B7">
              <w:rPr>
                <w:rFonts w:ascii="Arial" w:hAnsi="Arial" w:cs="Arial"/>
                <w:sz w:val="20"/>
                <w:szCs w:val="20"/>
              </w:rPr>
              <w:t xml:space="preserve">     </w:t>
            </w:r>
            <w:r w:rsidRPr="006472B7">
              <w:rPr>
                <w:rFonts w:ascii="Arial" w:hAnsi="Arial" w:cs="Arial"/>
                <w:sz w:val="20"/>
                <w:szCs w:val="20"/>
              </w:rPr>
              <w:br/>
              <w:t xml:space="preserve">Satisfies the requirement but with major reservations. Serious concerns about </w:t>
            </w:r>
          </w:p>
          <w:p w14:paraId="0EB71CD9" w14:textId="77777777" w:rsidR="00C72E5F" w:rsidRDefault="00C72E5F" w:rsidP="00164CAB">
            <w:pPr>
              <w:spacing w:after="0" w:line="240" w:lineRule="auto"/>
              <w:ind w:right="96"/>
              <w:rPr>
                <w:rFonts w:ascii="Arial" w:hAnsi="Arial" w:cs="Arial"/>
                <w:sz w:val="20"/>
                <w:szCs w:val="20"/>
              </w:rPr>
            </w:pPr>
            <w:r w:rsidRPr="006472B7">
              <w:rPr>
                <w:rFonts w:ascii="Arial" w:hAnsi="Arial" w:cs="Arial"/>
                <w:sz w:val="20"/>
                <w:szCs w:val="20"/>
              </w:rPr>
              <w:t>the Supplier’s relevant ability, understanding, experience, skills, resources and quality measures required.</w:t>
            </w:r>
          </w:p>
          <w:p w14:paraId="5AC2A884" w14:textId="1A17662A" w:rsidR="00D05995" w:rsidRPr="006472B7" w:rsidRDefault="00D05995" w:rsidP="00164CAB">
            <w:pPr>
              <w:spacing w:after="0" w:line="240" w:lineRule="auto"/>
              <w:ind w:right="96"/>
              <w:rPr>
                <w:rFonts w:ascii="Arial" w:hAnsi="Arial" w:cs="Arial"/>
                <w:b/>
                <w:bCs/>
                <w:sz w:val="20"/>
                <w:szCs w:val="20"/>
              </w:rPr>
            </w:pPr>
          </w:p>
        </w:tc>
      </w:tr>
      <w:tr w:rsidR="00C72E5F" w:rsidRPr="006472B7" w14:paraId="54B54812" w14:textId="77777777" w:rsidTr="005E3A5F">
        <w:trPr>
          <w:trHeight w:val="123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313B104" w14:textId="77777777" w:rsidR="00C72E5F" w:rsidRPr="006472B7" w:rsidRDefault="00C72E5F" w:rsidP="00164CAB">
            <w:pPr>
              <w:ind w:right="95"/>
              <w:rPr>
                <w:rFonts w:ascii="Arial" w:hAnsi="Arial" w:cs="Arial"/>
                <w:b/>
                <w:bCs/>
                <w:sz w:val="20"/>
                <w:szCs w:val="20"/>
              </w:rPr>
            </w:pPr>
            <w:r w:rsidRPr="006472B7">
              <w:rPr>
                <w:rFonts w:ascii="Arial" w:hAnsi="Arial" w:cs="Arial"/>
                <w:b/>
                <w:bCs/>
                <w:sz w:val="20"/>
                <w:szCs w:val="20"/>
              </w:rPr>
              <w:t>F</w:t>
            </w:r>
          </w:p>
        </w:tc>
        <w:tc>
          <w:tcPr>
            <w:tcW w:w="850" w:type="dxa"/>
            <w:tcBorders>
              <w:top w:val="nil"/>
              <w:left w:val="nil"/>
              <w:bottom w:val="single" w:sz="4" w:space="0" w:color="auto"/>
              <w:right w:val="single" w:sz="4" w:space="0" w:color="auto"/>
            </w:tcBorders>
            <w:shd w:val="clear" w:color="auto" w:fill="auto"/>
            <w:vAlign w:val="center"/>
            <w:hideMark/>
          </w:tcPr>
          <w:p w14:paraId="457ABE7E" w14:textId="77777777" w:rsidR="00C72E5F" w:rsidRPr="006472B7" w:rsidRDefault="00C72E5F" w:rsidP="00164CAB">
            <w:pPr>
              <w:ind w:right="95"/>
              <w:rPr>
                <w:rFonts w:ascii="Arial" w:hAnsi="Arial" w:cs="Arial"/>
                <w:b/>
                <w:bCs/>
                <w:sz w:val="20"/>
                <w:szCs w:val="20"/>
              </w:rPr>
            </w:pPr>
            <w:r w:rsidRPr="006472B7">
              <w:rPr>
                <w:rFonts w:ascii="Arial" w:hAnsi="Arial" w:cs="Arial"/>
                <w:b/>
                <w:bCs/>
                <w:sz w:val="20"/>
                <w:szCs w:val="20"/>
              </w:rPr>
              <w:t>0</w:t>
            </w:r>
          </w:p>
        </w:tc>
        <w:tc>
          <w:tcPr>
            <w:tcW w:w="7230" w:type="dxa"/>
            <w:tcBorders>
              <w:top w:val="single" w:sz="4" w:space="0" w:color="auto"/>
              <w:left w:val="nil"/>
              <w:bottom w:val="single" w:sz="4" w:space="0" w:color="auto"/>
              <w:right w:val="single" w:sz="4" w:space="0" w:color="000000"/>
            </w:tcBorders>
            <w:shd w:val="clear" w:color="auto" w:fill="auto"/>
            <w:hideMark/>
          </w:tcPr>
          <w:p w14:paraId="515B46FA" w14:textId="77777777" w:rsidR="00D05995" w:rsidRDefault="00D05995" w:rsidP="00164CAB">
            <w:pPr>
              <w:spacing w:after="0" w:line="240" w:lineRule="auto"/>
              <w:ind w:right="96"/>
              <w:rPr>
                <w:rFonts w:ascii="Arial" w:hAnsi="Arial" w:cs="Arial"/>
                <w:b/>
                <w:bCs/>
                <w:sz w:val="20"/>
                <w:szCs w:val="20"/>
              </w:rPr>
            </w:pPr>
          </w:p>
          <w:p w14:paraId="10EAD206" w14:textId="21DA5E2A" w:rsidR="00C72E5F" w:rsidRDefault="00C72E5F" w:rsidP="00164CAB">
            <w:pPr>
              <w:spacing w:after="0" w:line="240" w:lineRule="auto"/>
              <w:ind w:right="96"/>
              <w:rPr>
                <w:rFonts w:ascii="Arial" w:hAnsi="Arial" w:cs="Arial"/>
                <w:sz w:val="20"/>
                <w:szCs w:val="20"/>
              </w:rPr>
            </w:pPr>
            <w:r w:rsidRPr="006472B7">
              <w:rPr>
                <w:rFonts w:ascii="Arial" w:hAnsi="Arial" w:cs="Arial"/>
                <w:b/>
                <w:bCs/>
                <w:sz w:val="20"/>
                <w:szCs w:val="20"/>
              </w:rPr>
              <w:t>Unacceptable</w:t>
            </w:r>
            <w:r w:rsidRPr="006472B7">
              <w:rPr>
                <w:rFonts w:ascii="Arial" w:hAnsi="Arial" w:cs="Arial"/>
                <w:sz w:val="20"/>
                <w:szCs w:val="20"/>
              </w:rPr>
              <w:t xml:space="preserve">    </w:t>
            </w:r>
            <w:r w:rsidRPr="006472B7">
              <w:rPr>
                <w:rFonts w:ascii="Arial" w:hAnsi="Arial" w:cs="Arial"/>
                <w:sz w:val="20"/>
                <w:szCs w:val="20"/>
              </w:rPr>
              <w:br/>
              <w:t xml:space="preserve">Does not meet the requirement. Does not comply and/or insufficient information provided to demonstrate that the Supplier has the relevant ability, </w:t>
            </w:r>
          </w:p>
          <w:p w14:paraId="1B87F963" w14:textId="77777777" w:rsidR="00C72E5F" w:rsidRDefault="00C72E5F" w:rsidP="00164CAB">
            <w:pPr>
              <w:spacing w:after="0" w:line="240" w:lineRule="auto"/>
              <w:ind w:right="96"/>
              <w:rPr>
                <w:rFonts w:ascii="Arial" w:hAnsi="Arial" w:cs="Arial"/>
                <w:sz w:val="20"/>
                <w:szCs w:val="20"/>
              </w:rPr>
            </w:pPr>
            <w:r w:rsidRPr="006472B7">
              <w:rPr>
                <w:rFonts w:ascii="Arial" w:hAnsi="Arial" w:cs="Arial"/>
                <w:sz w:val="20"/>
                <w:szCs w:val="20"/>
              </w:rPr>
              <w:t xml:space="preserve">understanding, experience, skills, resources and quality measures required.  </w:t>
            </w:r>
          </w:p>
          <w:p w14:paraId="707A3883" w14:textId="77777777" w:rsidR="00C72E5F" w:rsidRDefault="00C72E5F" w:rsidP="00164CAB">
            <w:pPr>
              <w:spacing w:after="0" w:line="240" w:lineRule="auto"/>
              <w:ind w:right="96"/>
              <w:rPr>
                <w:rFonts w:ascii="Arial" w:hAnsi="Arial" w:cs="Arial"/>
                <w:sz w:val="20"/>
                <w:szCs w:val="20"/>
              </w:rPr>
            </w:pPr>
            <w:r w:rsidRPr="006472B7">
              <w:rPr>
                <w:rFonts w:ascii="Arial" w:hAnsi="Arial" w:cs="Arial"/>
                <w:sz w:val="20"/>
                <w:szCs w:val="20"/>
              </w:rPr>
              <w:t>Little or no evidence to support the response.</w:t>
            </w:r>
          </w:p>
          <w:p w14:paraId="4A771033" w14:textId="35BEB6DE" w:rsidR="00D05995" w:rsidRPr="007903A0" w:rsidRDefault="00D05995" w:rsidP="00164CAB">
            <w:pPr>
              <w:spacing w:after="0" w:line="240" w:lineRule="auto"/>
              <w:ind w:right="96"/>
              <w:rPr>
                <w:rFonts w:ascii="Arial" w:hAnsi="Arial" w:cs="Arial"/>
                <w:sz w:val="20"/>
                <w:szCs w:val="20"/>
              </w:rPr>
            </w:pPr>
          </w:p>
        </w:tc>
      </w:tr>
    </w:tbl>
    <w:p w14:paraId="222567E4" w14:textId="77777777" w:rsidR="00D05995" w:rsidRDefault="00D05995" w:rsidP="00164CAB">
      <w:pPr>
        <w:pStyle w:val="ListParagraph"/>
        <w:ind w:left="284" w:right="95"/>
        <w:rPr>
          <w:rFonts w:ascii="Arial" w:hAnsi="Arial" w:cs="Arial"/>
        </w:rPr>
      </w:pPr>
    </w:p>
    <w:p w14:paraId="5211BBDD" w14:textId="1BD6FFF0" w:rsidR="00C72E5F" w:rsidRPr="003F0662" w:rsidRDefault="00C72E5F" w:rsidP="00D05995">
      <w:pPr>
        <w:pStyle w:val="ListParagraph"/>
        <w:ind w:left="142" w:right="95"/>
        <w:rPr>
          <w:rFonts w:ascii="Arial" w:hAnsi="Arial" w:cs="Arial"/>
        </w:rPr>
      </w:pPr>
      <w:r>
        <w:rPr>
          <w:rFonts w:ascii="Arial" w:hAnsi="Arial" w:cs="Arial"/>
        </w:rPr>
        <w:t xml:space="preserve">Bids will be evaluated by </w:t>
      </w:r>
      <w:r w:rsidRPr="003F0662">
        <w:rPr>
          <w:rFonts w:ascii="Arial" w:hAnsi="Arial" w:cs="Arial"/>
        </w:rPr>
        <w:t xml:space="preserve">members of the OSC covering both the </w:t>
      </w:r>
      <w:r>
        <w:rPr>
          <w:rFonts w:ascii="Arial" w:hAnsi="Arial" w:cs="Arial"/>
        </w:rPr>
        <w:t xml:space="preserve">Policy </w:t>
      </w:r>
      <w:r w:rsidRPr="003F0662">
        <w:rPr>
          <w:rFonts w:ascii="Arial" w:hAnsi="Arial" w:cs="Arial"/>
        </w:rPr>
        <w:t xml:space="preserve">Team and the Analysis and Research Team. </w:t>
      </w:r>
    </w:p>
    <w:p w14:paraId="0D60E268" w14:textId="77777777" w:rsidR="00C72E5F" w:rsidRPr="001C0985" w:rsidRDefault="00C72E5F" w:rsidP="00164CAB">
      <w:pPr>
        <w:ind w:right="95"/>
        <w:rPr>
          <w:rFonts w:ascii="Arial" w:hAnsi="Arial" w:cs="Arial"/>
        </w:rPr>
      </w:pPr>
    </w:p>
    <w:p w14:paraId="58DA7071" w14:textId="77777777" w:rsidR="00C72E5F" w:rsidRDefault="00C72E5F" w:rsidP="00164CAB">
      <w:pPr>
        <w:ind w:right="95"/>
      </w:pPr>
    </w:p>
    <w:p w14:paraId="4C8703FE" w14:textId="0C140260" w:rsidR="00923391" w:rsidRDefault="00923391" w:rsidP="00164CAB">
      <w:pPr>
        <w:ind w:right="95"/>
      </w:pPr>
    </w:p>
    <w:p w14:paraId="4884B59C" w14:textId="72B0F4F9" w:rsidR="00D268E0" w:rsidRDefault="00D268E0" w:rsidP="00164CAB">
      <w:pPr>
        <w:pStyle w:val="NumberedL2"/>
        <w:numPr>
          <w:ilvl w:val="0"/>
          <w:numId w:val="0"/>
        </w:numPr>
        <w:spacing w:before="100" w:beforeAutospacing="1" w:after="100" w:afterAutospacing="1" w:line="240" w:lineRule="auto"/>
        <w:ind w:right="95"/>
        <w:jc w:val="left"/>
        <w:rPr>
          <w:rFonts w:cs="Arial"/>
          <w:szCs w:val="22"/>
        </w:rPr>
      </w:pPr>
    </w:p>
    <w:p w14:paraId="6EDBF66F" w14:textId="77777777" w:rsidR="00D816AA" w:rsidRPr="00DE1B0B" w:rsidRDefault="00D816AA" w:rsidP="00164CAB">
      <w:pPr>
        <w:spacing w:before="100" w:beforeAutospacing="1" w:after="100" w:afterAutospacing="1" w:line="240" w:lineRule="auto"/>
        <w:ind w:right="95"/>
        <w:rPr>
          <w:rFonts w:ascii="Arial" w:hAnsi="Arial" w:cs="Arial"/>
        </w:rPr>
      </w:pPr>
    </w:p>
    <w:sectPr w:rsidR="00D816AA" w:rsidRPr="00DE1B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F596C" w14:textId="77777777" w:rsidR="008630AF" w:rsidRDefault="008630AF" w:rsidP="00AB5701">
      <w:pPr>
        <w:spacing w:after="0" w:line="240" w:lineRule="auto"/>
      </w:pPr>
      <w:r>
        <w:separator/>
      </w:r>
    </w:p>
  </w:endnote>
  <w:endnote w:type="continuationSeparator" w:id="0">
    <w:p w14:paraId="6E99BBD3" w14:textId="77777777" w:rsidR="008630AF" w:rsidRDefault="008630AF" w:rsidP="00AB5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E38F3" w14:textId="77777777" w:rsidR="008630AF" w:rsidRDefault="008630AF" w:rsidP="00AB5701">
      <w:pPr>
        <w:spacing w:after="0" w:line="240" w:lineRule="auto"/>
      </w:pPr>
      <w:r>
        <w:separator/>
      </w:r>
    </w:p>
  </w:footnote>
  <w:footnote w:type="continuationSeparator" w:id="0">
    <w:p w14:paraId="3CE55194" w14:textId="77777777" w:rsidR="008630AF" w:rsidRDefault="008630AF" w:rsidP="00AB5701">
      <w:pPr>
        <w:spacing w:after="0" w:line="240" w:lineRule="auto"/>
      </w:pPr>
      <w:r>
        <w:continuationSeparator/>
      </w:r>
    </w:p>
  </w:footnote>
  <w:footnote w:id="1">
    <w:p w14:paraId="037A9A91" w14:textId="6B91FA38" w:rsidR="004A6FD3" w:rsidRPr="00B55B20" w:rsidRDefault="004A6FD3" w:rsidP="00D93CA6">
      <w:pPr>
        <w:pStyle w:val="EndnoteText"/>
        <w:rPr>
          <w:rFonts w:ascii="Arial" w:hAnsi="Arial" w:cs="Arial"/>
          <w:sz w:val="18"/>
          <w:szCs w:val="18"/>
        </w:rPr>
      </w:pPr>
      <w:r w:rsidRPr="00B55B20">
        <w:rPr>
          <w:rStyle w:val="FootnoteReference"/>
          <w:rFonts w:ascii="Arial" w:hAnsi="Arial" w:cs="Arial"/>
          <w:sz w:val="18"/>
          <w:szCs w:val="18"/>
        </w:rPr>
        <w:footnoteRef/>
      </w:r>
      <w:r w:rsidRPr="00B55B20">
        <w:rPr>
          <w:rFonts w:ascii="Arial" w:hAnsi="Arial" w:cs="Arial"/>
          <w:sz w:val="18"/>
          <w:szCs w:val="18"/>
        </w:rPr>
        <w:t xml:space="preserve"> </w:t>
      </w:r>
      <w:r w:rsidR="00DC2123" w:rsidRPr="00B55B20">
        <w:rPr>
          <w:rFonts w:ascii="Arial" w:hAnsi="Arial" w:cs="Arial"/>
          <w:sz w:val="18"/>
          <w:szCs w:val="18"/>
        </w:rPr>
        <w:t>Sentencing Council strategic objectives 2021-2026</w:t>
      </w:r>
      <w:r w:rsidR="00B55B20" w:rsidRPr="00B55B20">
        <w:rPr>
          <w:rFonts w:ascii="Arial" w:hAnsi="Arial" w:cs="Arial"/>
          <w:sz w:val="18"/>
          <w:szCs w:val="18"/>
        </w:rPr>
        <w:t>:</w:t>
      </w:r>
      <w:r w:rsidR="00DC2123" w:rsidRPr="00B55B20">
        <w:rPr>
          <w:rFonts w:ascii="Arial" w:hAnsi="Arial" w:cs="Arial"/>
          <w:sz w:val="18"/>
          <w:szCs w:val="18"/>
        </w:rPr>
        <w:t xml:space="preserve"> </w:t>
      </w:r>
      <w:hyperlink r:id="rId1" w:history="1">
        <w:r w:rsidR="00DC2123" w:rsidRPr="00B55B20">
          <w:rPr>
            <w:rFonts w:ascii="Arial" w:hAnsi="Arial" w:cs="Arial"/>
            <w:color w:val="0000FF"/>
            <w:sz w:val="18"/>
            <w:szCs w:val="18"/>
            <w:u w:val="single"/>
          </w:rPr>
          <w:t>Strategic objectives 2021-2026 – Sentencing (sentencingcouncil.org.uk)</w:t>
        </w:r>
      </w:hyperlink>
      <w:r w:rsidR="00B55B20" w:rsidRPr="00B55B20">
        <w:rPr>
          <w:rFonts w:ascii="Arial" w:hAnsi="Arial" w:cs="Arial"/>
          <w:color w:val="0000FF"/>
          <w:sz w:val="18"/>
          <w:szCs w:val="18"/>
          <w:u w:val="single"/>
        </w:rPr>
        <w:t>.</w:t>
      </w:r>
    </w:p>
  </w:footnote>
  <w:footnote w:id="2">
    <w:p w14:paraId="50CB17A9" w14:textId="22BD91A7" w:rsidR="00730EB3" w:rsidRPr="00B55B20" w:rsidRDefault="00730EB3" w:rsidP="00730EB3">
      <w:pPr>
        <w:pStyle w:val="FootnoteText"/>
        <w:rPr>
          <w:rFonts w:ascii="Arial" w:hAnsi="Arial" w:cs="Arial"/>
          <w:sz w:val="18"/>
          <w:szCs w:val="18"/>
        </w:rPr>
      </w:pPr>
      <w:r w:rsidRPr="00B55B20">
        <w:rPr>
          <w:rStyle w:val="FootnoteReference"/>
          <w:rFonts w:ascii="Arial" w:hAnsi="Arial" w:cs="Arial"/>
          <w:sz w:val="18"/>
          <w:szCs w:val="18"/>
        </w:rPr>
        <w:footnoteRef/>
      </w:r>
      <w:r w:rsidRPr="00B55B20">
        <w:rPr>
          <w:rFonts w:ascii="Arial" w:hAnsi="Arial" w:cs="Arial"/>
          <w:sz w:val="18"/>
          <w:szCs w:val="18"/>
        </w:rPr>
        <w:t xml:space="preserve"> </w:t>
      </w:r>
      <w:hyperlink r:id="rId2" w:history="1">
        <w:r w:rsidRPr="00B55B20">
          <w:rPr>
            <w:rFonts w:ascii="Arial" w:eastAsiaTheme="minorHAnsi" w:hAnsi="Arial" w:cs="Arial"/>
            <w:color w:val="0000FF"/>
            <w:sz w:val="18"/>
            <w:szCs w:val="18"/>
            <w:u w:val="single"/>
            <w:lang w:eastAsia="en-US"/>
          </w:rPr>
          <w:t>The-Effectiveness-of-Sentencing-Options-1.pdf (sentencingacademy.org.uk)</w:t>
        </w:r>
      </w:hyperlink>
      <w:r w:rsidR="00B55B20">
        <w:rPr>
          <w:rFonts w:ascii="Arial" w:eastAsiaTheme="minorHAnsi" w:hAnsi="Arial" w:cs="Arial"/>
          <w:color w:val="0000FF"/>
          <w:sz w:val="18"/>
          <w:szCs w:val="18"/>
          <w:u w:val="single"/>
          <w:lang w:eastAsia="en-US"/>
        </w:rPr>
        <w:t>.</w:t>
      </w:r>
    </w:p>
  </w:footnote>
  <w:footnote w:id="3">
    <w:p w14:paraId="1A578012" w14:textId="7A7688A4" w:rsidR="00730EB3" w:rsidRPr="00B55B20" w:rsidRDefault="00730EB3" w:rsidP="00730EB3">
      <w:pPr>
        <w:pStyle w:val="FootnoteText"/>
        <w:rPr>
          <w:rFonts w:ascii="Arial" w:hAnsi="Arial" w:cs="Arial"/>
          <w:sz w:val="18"/>
          <w:szCs w:val="18"/>
        </w:rPr>
      </w:pPr>
      <w:r w:rsidRPr="00B55B20">
        <w:rPr>
          <w:rStyle w:val="FootnoteReference"/>
          <w:rFonts w:ascii="Arial" w:hAnsi="Arial" w:cs="Arial"/>
          <w:sz w:val="18"/>
          <w:szCs w:val="18"/>
        </w:rPr>
        <w:footnoteRef/>
      </w:r>
      <w:r w:rsidRPr="00B55B20">
        <w:rPr>
          <w:rFonts w:ascii="Arial" w:hAnsi="Arial" w:cs="Arial"/>
          <w:sz w:val="18"/>
          <w:szCs w:val="18"/>
        </w:rPr>
        <w:t xml:space="preserve"> </w:t>
      </w:r>
      <w:hyperlink r:id="rId3" w:history="1">
        <w:r w:rsidRPr="00B55B20">
          <w:rPr>
            <w:rFonts w:ascii="Arial" w:eastAsiaTheme="minorHAnsi" w:hAnsi="Arial" w:cs="Arial"/>
            <w:color w:val="0000FF"/>
            <w:sz w:val="18"/>
            <w:szCs w:val="18"/>
            <w:u w:val="single"/>
            <w:lang w:eastAsia="en-US"/>
          </w:rPr>
          <w:t>The Sentencing Council in 2017: A Report on Research to Advise on how the Sentencing Council can best Exercise its Statutory Functions</w:t>
        </w:r>
      </w:hyperlink>
      <w:r w:rsidR="00B55B20" w:rsidRPr="00B55B20">
        <w:rPr>
          <w:rFonts w:ascii="Arial" w:eastAsiaTheme="minorHAnsi" w:hAnsi="Arial" w:cs="Arial"/>
          <w:color w:val="0000FF"/>
          <w:sz w:val="18"/>
          <w:szCs w:val="18"/>
          <w:u w:val="single"/>
          <w:lang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1084"/>
    <w:multiLevelType w:val="multilevel"/>
    <w:tmpl w:val="7BD0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B8333E"/>
    <w:multiLevelType w:val="hybridMultilevel"/>
    <w:tmpl w:val="32C62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2D5FB7"/>
    <w:multiLevelType w:val="hybridMultilevel"/>
    <w:tmpl w:val="A308180C"/>
    <w:lvl w:ilvl="0" w:tplc="08090001">
      <w:start w:val="1"/>
      <w:numFmt w:val="bullet"/>
      <w:lvlText w:val=""/>
      <w:lvlJc w:val="left"/>
      <w:pPr>
        <w:tabs>
          <w:tab w:val="num" w:pos="1080"/>
        </w:tabs>
        <w:ind w:left="10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F48014D"/>
    <w:multiLevelType w:val="hybridMultilevel"/>
    <w:tmpl w:val="294CB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3D0D32"/>
    <w:multiLevelType w:val="hybridMultilevel"/>
    <w:tmpl w:val="B7001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D715E"/>
    <w:multiLevelType w:val="hybridMultilevel"/>
    <w:tmpl w:val="93C6A476"/>
    <w:lvl w:ilvl="0" w:tplc="5C14D978">
      <w:start w:val="18"/>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6" w15:restartNumberingAfterBreak="0">
    <w:nsid w:val="24AB7081"/>
    <w:multiLevelType w:val="hybridMultilevel"/>
    <w:tmpl w:val="CFA2F9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34026F"/>
    <w:multiLevelType w:val="hybridMultilevel"/>
    <w:tmpl w:val="102E3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1545B7"/>
    <w:multiLevelType w:val="hybridMultilevel"/>
    <w:tmpl w:val="C2027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3E05BB"/>
    <w:multiLevelType w:val="multilevel"/>
    <w:tmpl w:val="B442E9B0"/>
    <w:lvl w:ilvl="0">
      <w:start w:val="1"/>
      <w:numFmt w:val="decimal"/>
      <w:pStyle w:val="NumberedL1"/>
      <w:lvlText w:val="%1"/>
      <w:lvlJc w:val="left"/>
      <w:pPr>
        <w:tabs>
          <w:tab w:val="num" w:pos="0"/>
        </w:tabs>
        <w:ind w:left="0" w:firstLine="0"/>
      </w:pPr>
      <w:rPr>
        <w:rFonts w:hint="default"/>
      </w:rPr>
    </w:lvl>
    <w:lvl w:ilvl="1">
      <w:start w:val="1"/>
      <w:numFmt w:val="decimal"/>
      <w:pStyle w:val="NumberedL2"/>
      <w:lvlText w:val="%1.%2"/>
      <w:lvlJc w:val="left"/>
      <w:pPr>
        <w:tabs>
          <w:tab w:val="num" w:pos="0"/>
        </w:tabs>
        <w:ind w:left="0" w:firstLine="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D605013"/>
    <w:multiLevelType w:val="hybridMultilevel"/>
    <w:tmpl w:val="680E3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D654EE"/>
    <w:multiLevelType w:val="hybridMultilevel"/>
    <w:tmpl w:val="E632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6A59E5"/>
    <w:multiLevelType w:val="hybridMultilevel"/>
    <w:tmpl w:val="EC2CF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36267B"/>
    <w:multiLevelType w:val="hybridMultilevel"/>
    <w:tmpl w:val="062AB7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887225"/>
    <w:multiLevelType w:val="hybridMultilevel"/>
    <w:tmpl w:val="7F626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7D3C35"/>
    <w:multiLevelType w:val="hybridMultilevel"/>
    <w:tmpl w:val="F74EFA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BB6927"/>
    <w:multiLevelType w:val="hybridMultilevel"/>
    <w:tmpl w:val="8D7C4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F507AC"/>
    <w:multiLevelType w:val="multilevel"/>
    <w:tmpl w:val="D086638C"/>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6F666FA3"/>
    <w:multiLevelType w:val="multilevel"/>
    <w:tmpl w:val="35F4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F80190"/>
    <w:multiLevelType w:val="hybridMultilevel"/>
    <w:tmpl w:val="222A1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F5A6395"/>
    <w:multiLevelType w:val="hybridMultilevel"/>
    <w:tmpl w:val="82187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10"/>
  </w:num>
  <w:num w:numId="3">
    <w:abstractNumId w:val="5"/>
  </w:num>
  <w:num w:numId="4">
    <w:abstractNumId w:val="20"/>
  </w:num>
  <w:num w:numId="5">
    <w:abstractNumId w:val="14"/>
  </w:num>
  <w:num w:numId="6">
    <w:abstractNumId w:val="13"/>
  </w:num>
  <w:num w:numId="7">
    <w:abstractNumId w:val="3"/>
  </w:num>
  <w:num w:numId="8">
    <w:abstractNumId w:val="19"/>
  </w:num>
  <w:num w:numId="9">
    <w:abstractNumId w:val="7"/>
  </w:num>
  <w:num w:numId="10">
    <w:abstractNumId w:val="9"/>
  </w:num>
  <w:num w:numId="11">
    <w:abstractNumId w:val="18"/>
  </w:num>
  <w:num w:numId="12">
    <w:abstractNumId w:val="15"/>
  </w:num>
  <w:num w:numId="13">
    <w:abstractNumId w:val="1"/>
  </w:num>
  <w:num w:numId="14">
    <w:abstractNumId w:val="12"/>
  </w:num>
  <w:num w:numId="15">
    <w:abstractNumId w:val="16"/>
  </w:num>
  <w:num w:numId="16">
    <w:abstractNumId w:val="0"/>
  </w:num>
  <w:num w:numId="17">
    <w:abstractNumId w:val="4"/>
  </w:num>
  <w:num w:numId="18">
    <w:abstractNumId w:val="2"/>
  </w:num>
  <w:num w:numId="19">
    <w:abstractNumId w:val="6"/>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A15"/>
    <w:rsid w:val="0001294C"/>
    <w:rsid w:val="00012FD4"/>
    <w:rsid w:val="00017E0F"/>
    <w:rsid w:val="00021061"/>
    <w:rsid w:val="000225EB"/>
    <w:rsid w:val="00033503"/>
    <w:rsid w:val="000338EF"/>
    <w:rsid w:val="000458C6"/>
    <w:rsid w:val="000473C0"/>
    <w:rsid w:val="000527C7"/>
    <w:rsid w:val="000559F1"/>
    <w:rsid w:val="000577DC"/>
    <w:rsid w:val="00057A39"/>
    <w:rsid w:val="000602F8"/>
    <w:rsid w:val="00061A93"/>
    <w:rsid w:val="00061FF8"/>
    <w:rsid w:val="00062042"/>
    <w:rsid w:val="0006204F"/>
    <w:rsid w:val="0006252B"/>
    <w:rsid w:val="00062EC2"/>
    <w:rsid w:val="0007015F"/>
    <w:rsid w:val="00071C50"/>
    <w:rsid w:val="000763A6"/>
    <w:rsid w:val="000851A8"/>
    <w:rsid w:val="00085A68"/>
    <w:rsid w:val="00094D88"/>
    <w:rsid w:val="000A0E46"/>
    <w:rsid w:val="000B0FD3"/>
    <w:rsid w:val="000B26B4"/>
    <w:rsid w:val="000B616C"/>
    <w:rsid w:val="000B7C4E"/>
    <w:rsid w:val="000C257B"/>
    <w:rsid w:val="000C39A2"/>
    <w:rsid w:val="000C443F"/>
    <w:rsid w:val="000C6E3E"/>
    <w:rsid w:val="0010347D"/>
    <w:rsid w:val="00103E9B"/>
    <w:rsid w:val="00111278"/>
    <w:rsid w:val="00127334"/>
    <w:rsid w:val="0012772E"/>
    <w:rsid w:val="001319DC"/>
    <w:rsid w:val="001345A8"/>
    <w:rsid w:val="00141282"/>
    <w:rsid w:val="00145A9B"/>
    <w:rsid w:val="00145AE8"/>
    <w:rsid w:val="00147A64"/>
    <w:rsid w:val="00150218"/>
    <w:rsid w:val="00164CAB"/>
    <w:rsid w:val="0016506E"/>
    <w:rsid w:val="00176154"/>
    <w:rsid w:val="00176638"/>
    <w:rsid w:val="0018024D"/>
    <w:rsid w:val="00180801"/>
    <w:rsid w:val="001865F5"/>
    <w:rsid w:val="00186E18"/>
    <w:rsid w:val="00186E73"/>
    <w:rsid w:val="0019024B"/>
    <w:rsid w:val="00190CC0"/>
    <w:rsid w:val="0019623D"/>
    <w:rsid w:val="00196EFE"/>
    <w:rsid w:val="00197AAB"/>
    <w:rsid w:val="001A259C"/>
    <w:rsid w:val="001A2B9F"/>
    <w:rsid w:val="001B2B0F"/>
    <w:rsid w:val="001B6313"/>
    <w:rsid w:val="001C2BCD"/>
    <w:rsid w:val="001D0BCA"/>
    <w:rsid w:val="001D171C"/>
    <w:rsid w:val="001D5E3A"/>
    <w:rsid w:val="001E009A"/>
    <w:rsid w:val="001E5A4A"/>
    <w:rsid w:val="001F453B"/>
    <w:rsid w:val="00200D7E"/>
    <w:rsid w:val="00202CC1"/>
    <w:rsid w:val="00207CDA"/>
    <w:rsid w:val="00211A61"/>
    <w:rsid w:val="00223FE2"/>
    <w:rsid w:val="00227DB8"/>
    <w:rsid w:val="00237AAE"/>
    <w:rsid w:val="002534C8"/>
    <w:rsid w:val="002616B6"/>
    <w:rsid w:val="00262B05"/>
    <w:rsid w:val="00263695"/>
    <w:rsid w:val="00266130"/>
    <w:rsid w:val="0026677B"/>
    <w:rsid w:val="0027770B"/>
    <w:rsid w:val="00282F76"/>
    <w:rsid w:val="00283545"/>
    <w:rsid w:val="002900EE"/>
    <w:rsid w:val="0029426A"/>
    <w:rsid w:val="002A22B1"/>
    <w:rsid w:val="002A6B68"/>
    <w:rsid w:val="002A6F31"/>
    <w:rsid w:val="002B7C4E"/>
    <w:rsid w:val="002C0A15"/>
    <w:rsid w:val="002C4657"/>
    <w:rsid w:val="002C4B8F"/>
    <w:rsid w:val="002D37F1"/>
    <w:rsid w:val="002D7497"/>
    <w:rsid w:val="002E0AF7"/>
    <w:rsid w:val="002E32D2"/>
    <w:rsid w:val="002F0404"/>
    <w:rsid w:val="002F3FA9"/>
    <w:rsid w:val="002F73DA"/>
    <w:rsid w:val="003016B8"/>
    <w:rsid w:val="0030611C"/>
    <w:rsid w:val="003108BB"/>
    <w:rsid w:val="0032048F"/>
    <w:rsid w:val="00323398"/>
    <w:rsid w:val="003273A2"/>
    <w:rsid w:val="00330646"/>
    <w:rsid w:val="00331A40"/>
    <w:rsid w:val="003539F7"/>
    <w:rsid w:val="00355FC7"/>
    <w:rsid w:val="0036277B"/>
    <w:rsid w:val="0036348B"/>
    <w:rsid w:val="00364230"/>
    <w:rsid w:val="00366254"/>
    <w:rsid w:val="00371949"/>
    <w:rsid w:val="00375B36"/>
    <w:rsid w:val="00376EEC"/>
    <w:rsid w:val="003771E6"/>
    <w:rsid w:val="00377C39"/>
    <w:rsid w:val="00383B0B"/>
    <w:rsid w:val="00385EF2"/>
    <w:rsid w:val="00386955"/>
    <w:rsid w:val="00387212"/>
    <w:rsid w:val="003918A4"/>
    <w:rsid w:val="00393EDD"/>
    <w:rsid w:val="00394389"/>
    <w:rsid w:val="00396952"/>
    <w:rsid w:val="003A41E3"/>
    <w:rsid w:val="003A4960"/>
    <w:rsid w:val="003A5734"/>
    <w:rsid w:val="003B41F8"/>
    <w:rsid w:val="003B7585"/>
    <w:rsid w:val="003C3BD4"/>
    <w:rsid w:val="003C52CF"/>
    <w:rsid w:val="003D6CDD"/>
    <w:rsid w:val="003D7124"/>
    <w:rsid w:val="003D737F"/>
    <w:rsid w:val="003E1823"/>
    <w:rsid w:val="003E6A6D"/>
    <w:rsid w:val="003F408F"/>
    <w:rsid w:val="003F6866"/>
    <w:rsid w:val="00403BAD"/>
    <w:rsid w:val="004106ED"/>
    <w:rsid w:val="00410BC7"/>
    <w:rsid w:val="0042314F"/>
    <w:rsid w:val="004444A3"/>
    <w:rsid w:val="00444875"/>
    <w:rsid w:val="00455D37"/>
    <w:rsid w:val="00460551"/>
    <w:rsid w:val="00461ED2"/>
    <w:rsid w:val="00464615"/>
    <w:rsid w:val="00477B68"/>
    <w:rsid w:val="004A0764"/>
    <w:rsid w:val="004A174E"/>
    <w:rsid w:val="004A6F9D"/>
    <w:rsid w:val="004A6FD3"/>
    <w:rsid w:val="004B42F3"/>
    <w:rsid w:val="004C31F2"/>
    <w:rsid w:val="004C703C"/>
    <w:rsid w:val="004C7FA5"/>
    <w:rsid w:val="004D7B53"/>
    <w:rsid w:val="004E2A25"/>
    <w:rsid w:val="004E4E95"/>
    <w:rsid w:val="004F30D0"/>
    <w:rsid w:val="004F5962"/>
    <w:rsid w:val="004F6296"/>
    <w:rsid w:val="00504CCC"/>
    <w:rsid w:val="00512ECC"/>
    <w:rsid w:val="00515333"/>
    <w:rsid w:val="00516499"/>
    <w:rsid w:val="00522F50"/>
    <w:rsid w:val="00533DF7"/>
    <w:rsid w:val="005402F3"/>
    <w:rsid w:val="0054267C"/>
    <w:rsid w:val="005435D3"/>
    <w:rsid w:val="00545E09"/>
    <w:rsid w:val="00550BFE"/>
    <w:rsid w:val="00551AD1"/>
    <w:rsid w:val="00555938"/>
    <w:rsid w:val="005577F6"/>
    <w:rsid w:val="00576860"/>
    <w:rsid w:val="0058066F"/>
    <w:rsid w:val="00580C86"/>
    <w:rsid w:val="005829B8"/>
    <w:rsid w:val="005863A4"/>
    <w:rsid w:val="00595C37"/>
    <w:rsid w:val="00596236"/>
    <w:rsid w:val="005A3D5A"/>
    <w:rsid w:val="005A4C04"/>
    <w:rsid w:val="005A5DA8"/>
    <w:rsid w:val="005B0B85"/>
    <w:rsid w:val="005B65DA"/>
    <w:rsid w:val="005B72CB"/>
    <w:rsid w:val="005C08BF"/>
    <w:rsid w:val="005C41CD"/>
    <w:rsid w:val="005C4D2F"/>
    <w:rsid w:val="005C6B80"/>
    <w:rsid w:val="005D4C48"/>
    <w:rsid w:val="005E1347"/>
    <w:rsid w:val="005E3A5F"/>
    <w:rsid w:val="005E7C00"/>
    <w:rsid w:val="005E7FE2"/>
    <w:rsid w:val="00611A89"/>
    <w:rsid w:val="00611B6A"/>
    <w:rsid w:val="00613ED6"/>
    <w:rsid w:val="006172A4"/>
    <w:rsid w:val="00626BD9"/>
    <w:rsid w:val="00633764"/>
    <w:rsid w:val="00636105"/>
    <w:rsid w:val="006363A4"/>
    <w:rsid w:val="00642FCD"/>
    <w:rsid w:val="00650DB8"/>
    <w:rsid w:val="00651615"/>
    <w:rsid w:val="00655795"/>
    <w:rsid w:val="0066516C"/>
    <w:rsid w:val="006653EC"/>
    <w:rsid w:val="00666630"/>
    <w:rsid w:val="00674854"/>
    <w:rsid w:val="0067597C"/>
    <w:rsid w:val="00677663"/>
    <w:rsid w:val="006816FC"/>
    <w:rsid w:val="006914E7"/>
    <w:rsid w:val="006A63C7"/>
    <w:rsid w:val="006A73C5"/>
    <w:rsid w:val="006C31AF"/>
    <w:rsid w:val="006C7F53"/>
    <w:rsid w:val="006D54E1"/>
    <w:rsid w:val="006D55B8"/>
    <w:rsid w:val="006E6A59"/>
    <w:rsid w:val="006F5536"/>
    <w:rsid w:val="0070204A"/>
    <w:rsid w:val="00702546"/>
    <w:rsid w:val="00703F5F"/>
    <w:rsid w:val="007051BA"/>
    <w:rsid w:val="0070545F"/>
    <w:rsid w:val="007112FD"/>
    <w:rsid w:val="00713FF9"/>
    <w:rsid w:val="007231B0"/>
    <w:rsid w:val="00726860"/>
    <w:rsid w:val="00730EB3"/>
    <w:rsid w:val="0073367C"/>
    <w:rsid w:val="00740015"/>
    <w:rsid w:val="007417ED"/>
    <w:rsid w:val="00742498"/>
    <w:rsid w:val="00753F4A"/>
    <w:rsid w:val="00754A44"/>
    <w:rsid w:val="00757E88"/>
    <w:rsid w:val="00761F6D"/>
    <w:rsid w:val="00777BD6"/>
    <w:rsid w:val="00782347"/>
    <w:rsid w:val="00784786"/>
    <w:rsid w:val="00793FA5"/>
    <w:rsid w:val="007A1AAC"/>
    <w:rsid w:val="007A3542"/>
    <w:rsid w:val="007A509D"/>
    <w:rsid w:val="007B5A4C"/>
    <w:rsid w:val="007B7D63"/>
    <w:rsid w:val="007C2C59"/>
    <w:rsid w:val="007C764F"/>
    <w:rsid w:val="007D3D2B"/>
    <w:rsid w:val="007E2924"/>
    <w:rsid w:val="007E2EE3"/>
    <w:rsid w:val="007E3CC1"/>
    <w:rsid w:val="007E5841"/>
    <w:rsid w:val="007E6EA1"/>
    <w:rsid w:val="0080005C"/>
    <w:rsid w:val="00804798"/>
    <w:rsid w:val="00806822"/>
    <w:rsid w:val="00810665"/>
    <w:rsid w:val="00823FD1"/>
    <w:rsid w:val="00826B5F"/>
    <w:rsid w:val="0083131A"/>
    <w:rsid w:val="008323B6"/>
    <w:rsid w:val="00835DEB"/>
    <w:rsid w:val="0084535D"/>
    <w:rsid w:val="00850018"/>
    <w:rsid w:val="008501EE"/>
    <w:rsid w:val="008610A4"/>
    <w:rsid w:val="00862B73"/>
    <w:rsid w:val="008630AF"/>
    <w:rsid w:val="00864E5D"/>
    <w:rsid w:val="00872DDE"/>
    <w:rsid w:val="0087362F"/>
    <w:rsid w:val="008843E5"/>
    <w:rsid w:val="008849DF"/>
    <w:rsid w:val="00886AEE"/>
    <w:rsid w:val="00886B47"/>
    <w:rsid w:val="008960CE"/>
    <w:rsid w:val="008A60EC"/>
    <w:rsid w:val="008B0DFB"/>
    <w:rsid w:val="008C528A"/>
    <w:rsid w:val="008D0FD4"/>
    <w:rsid w:val="008E0F93"/>
    <w:rsid w:val="008E2AF1"/>
    <w:rsid w:val="008E2E5F"/>
    <w:rsid w:val="008E6469"/>
    <w:rsid w:val="008E733C"/>
    <w:rsid w:val="008F274C"/>
    <w:rsid w:val="008F3EE4"/>
    <w:rsid w:val="008F57EF"/>
    <w:rsid w:val="009066DF"/>
    <w:rsid w:val="00907FC2"/>
    <w:rsid w:val="0092014A"/>
    <w:rsid w:val="00920FEF"/>
    <w:rsid w:val="00923391"/>
    <w:rsid w:val="0094065B"/>
    <w:rsid w:val="00943B36"/>
    <w:rsid w:val="00946B2B"/>
    <w:rsid w:val="00946DD6"/>
    <w:rsid w:val="00962893"/>
    <w:rsid w:val="00962C0E"/>
    <w:rsid w:val="00973E6A"/>
    <w:rsid w:val="00983CF6"/>
    <w:rsid w:val="00995743"/>
    <w:rsid w:val="009B3933"/>
    <w:rsid w:val="009B45EB"/>
    <w:rsid w:val="009C15B0"/>
    <w:rsid w:val="009C2CB5"/>
    <w:rsid w:val="009C420A"/>
    <w:rsid w:val="009E6EE9"/>
    <w:rsid w:val="009F52DB"/>
    <w:rsid w:val="00A018B0"/>
    <w:rsid w:val="00A05589"/>
    <w:rsid w:val="00A0717C"/>
    <w:rsid w:val="00A11504"/>
    <w:rsid w:val="00A1305C"/>
    <w:rsid w:val="00A13C1A"/>
    <w:rsid w:val="00A1486F"/>
    <w:rsid w:val="00A14C80"/>
    <w:rsid w:val="00A17538"/>
    <w:rsid w:val="00A246EF"/>
    <w:rsid w:val="00A2551C"/>
    <w:rsid w:val="00A25C6C"/>
    <w:rsid w:val="00A3543A"/>
    <w:rsid w:val="00A3579C"/>
    <w:rsid w:val="00A40974"/>
    <w:rsid w:val="00A43F67"/>
    <w:rsid w:val="00A4503A"/>
    <w:rsid w:val="00A465D3"/>
    <w:rsid w:val="00A66F36"/>
    <w:rsid w:val="00A70044"/>
    <w:rsid w:val="00A76013"/>
    <w:rsid w:val="00A80C91"/>
    <w:rsid w:val="00AB0AE0"/>
    <w:rsid w:val="00AB41CD"/>
    <w:rsid w:val="00AB45D8"/>
    <w:rsid w:val="00AB46C9"/>
    <w:rsid w:val="00AB5701"/>
    <w:rsid w:val="00AB6D93"/>
    <w:rsid w:val="00AB75E2"/>
    <w:rsid w:val="00AB7E64"/>
    <w:rsid w:val="00AC08AF"/>
    <w:rsid w:val="00AC5EF8"/>
    <w:rsid w:val="00AE7813"/>
    <w:rsid w:val="00AF4F2E"/>
    <w:rsid w:val="00AF69DF"/>
    <w:rsid w:val="00B079E3"/>
    <w:rsid w:val="00B12949"/>
    <w:rsid w:val="00B152C9"/>
    <w:rsid w:val="00B16298"/>
    <w:rsid w:val="00B17E55"/>
    <w:rsid w:val="00B265C4"/>
    <w:rsid w:val="00B55B20"/>
    <w:rsid w:val="00B56A8F"/>
    <w:rsid w:val="00B76DB1"/>
    <w:rsid w:val="00B804C4"/>
    <w:rsid w:val="00B819A3"/>
    <w:rsid w:val="00B8521A"/>
    <w:rsid w:val="00B90CC0"/>
    <w:rsid w:val="00B931E3"/>
    <w:rsid w:val="00BA69EC"/>
    <w:rsid w:val="00BD1D46"/>
    <w:rsid w:val="00BD5739"/>
    <w:rsid w:val="00BE3B67"/>
    <w:rsid w:val="00BE562B"/>
    <w:rsid w:val="00BE77B4"/>
    <w:rsid w:val="00BF2068"/>
    <w:rsid w:val="00C01E7C"/>
    <w:rsid w:val="00C057FB"/>
    <w:rsid w:val="00C16229"/>
    <w:rsid w:val="00C169AB"/>
    <w:rsid w:val="00C25209"/>
    <w:rsid w:val="00C3001E"/>
    <w:rsid w:val="00C4504F"/>
    <w:rsid w:val="00C47532"/>
    <w:rsid w:val="00C5126C"/>
    <w:rsid w:val="00C657D5"/>
    <w:rsid w:val="00C65B91"/>
    <w:rsid w:val="00C67320"/>
    <w:rsid w:val="00C72E5F"/>
    <w:rsid w:val="00C73585"/>
    <w:rsid w:val="00C73F26"/>
    <w:rsid w:val="00C75992"/>
    <w:rsid w:val="00C76813"/>
    <w:rsid w:val="00C8372B"/>
    <w:rsid w:val="00CA02D2"/>
    <w:rsid w:val="00CA3421"/>
    <w:rsid w:val="00CB0BC7"/>
    <w:rsid w:val="00CB3B57"/>
    <w:rsid w:val="00CC0BA1"/>
    <w:rsid w:val="00CC1832"/>
    <w:rsid w:val="00CC637B"/>
    <w:rsid w:val="00CD0D18"/>
    <w:rsid w:val="00CD1B84"/>
    <w:rsid w:val="00CE4419"/>
    <w:rsid w:val="00CE4BC8"/>
    <w:rsid w:val="00D0213D"/>
    <w:rsid w:val="00D0322E"/>
    <w:rsid w:val="00D05047"/>
    <w:rsid w:val="00D05995"/>
    <w:rsid w:val="00D15224"/>
    <w:rsid w:val="00D169D2"/>
    <w:rsid w:val="00D16BDD"/>
    <w:rsid w:val="00D177AF"/>
    <w:rsid w:val="00D21A2E"/>
    <w:rsid w:val="00D23E51"/>
    <w:rsid w:val="00D268E0"/>
    <w:rsid w:val="00D35AE6"/>
    <w:rsid w:val="00D3707D"/>
    <w:rsid w:val="00D440A6"/>
    <w:rsid w:val="00D45E83"/>
    <w:rsid w:val="00D4701D"/>
    <w:rsid w:val="00D60D38"/>
    <w:rsid w:val="00D638B8"/>
    <w:rsid w:val="00D710C2"/>
    <w:rsid w:val="00D75E89"/>
    <w:rsid w:val="00D81172"/>
    <w:rsid w:val="00D816AA"/>
    <w:rsid w:val="00D81C6F"/>
    <w:rsid w:val="00D81F65"/>
    <w:rsid w:val="00D84742"/>
    <w:rsid w:val="00D935BF"/>
    <w:rsid w:val="00D93CA6"/>
    <w:rsid w:val="00D9591B"/>
    <w:rsid w:val="00D96517"/>
    <w:rsid w:val="00DA76F6"/>
    <w:rsid w:val="00DB44DA"/>
    <w:rsid w:val="00DC0490"/>
    <w:rsid w:val="00DC2123"/>
    <w:rsid w:val="00DC33DA"/>
    <w:rsid w:val="00DC3ACE"/>
    <w:rsid w:val="00DD03F9"/>
    <w:rsid w:val="00DE1B0B"/>
    <w:rsid w:val="00DF1AC2"/>
    <w:rsid w:val="00E0676B"/>
    <w:rsid w:val="00E07251"/>
    <w:rsid w:val="00E1255A"/>
    <w:rsid w:val="00E22616"/>
    <w:rsid w:val="00E22D7D"/>
    <w:rsid w:val="00E25B03"/>
    <w:rsid w:val="00E31EE9"/>
    <w:rsid w:val="00E365FA"/>
    <w:rsid w:val="00E47893"/>
    <w:rsid w:val="00E506BE"/>
    <w:rsid w:val="00E50FEB"/>
    <w:rsid w:val="00E54400"/>
    <w:rsid w:val="00E62B08"/>
    <w:rsid w:val="00E70843"/>
    <w:rsid w:val="00E818B2"/>
    <w:rsid w:val="00E911DC"/>
    <w:rsid w:val="00E92F70"/>
    <w:rsid w:val="00E94BA2"/>
    <w:rsid w:val="00E97760"/>
    <w:rsid w:val="00EA0730"/>
    <w:rsid w:val="00EA0CF9"/>
    <w:rsid w:val="00EA1295"/>
    <w:rsid w:val="00EA39C9"/>
    <w:rsid w:val="00EC12D2"/>
    <w:rsid w:val="00EC5143"/>
    <w:rsid w:val="00EC7F19"/>
    <w:rsid w:val="00ED059C"/>
    <w:rsid w:val="00EE4962"/>
    <w:rsid w:val="00EE54A5"/>
    <w:rsid w:val="00EF2301"/>
    <w:rsid w:val="00EF5C88"/>
    <w:rsid w:val="00F02C6F"/>
    <w:rsid w:val="00F13123"/>
    <w:rsid w:val="00F1693F"/>
    <w:rsid w:val="00F20A3F"/>
    <w:rsid w:val="00F20CDC"/>
    <w:rsid w:val="00F21BB0"/>
    <w:rsid w:val="00F23351"/>
    <w:rsid w:val="00F26396"/>
    <w:rsid w:val="00F344D5"/>
    <w:rsid w:val="00F37F6E"/>
    <w:rsid w:val="00F45485"/>
    <w:rsid w:val="00F474D3"/>
    <w:rsid w:val="00F47FFC"/>
    <w:rsid w:val="00F52DF2"/>
    <w:rsid w:val="00F57E96"/>
    <w:rsid w:val="00F60144"/>
    <w:rsid w:val="00F6053D"/>
    <w:rsid w:val="00F62513"/>
    <w:rsid w:val="00F63E50"/>
    <w:rsid w:val="00F821CB"/>
    <w:rsid w:val="00FA127F"/>
    <w:rsid w:val="00FA1FD5"/>
    <w:rsid w:val="00FA2B7D"/>
    <w:rsid w:val="00FB2B05"/>
    <w:rsid w:val="00FB597A"/>
    <w:rsid w:val="00FB79DA"/>
    <w:rsid w:val="00FC2DF5"/>
    <w:rsid w:val="00FD123B"/>
    <w:rsid w:val="00FD13F5"/>
    <w:rsid w:val="00FD2638"/>
    <w:rsid w:val="00FD42D0"/>
    <w:rsid w:val="00FD6F14"/>
    <w:rsid w:val="00FD7474"/>
    <w:rsid w:val="00FE2495"/>
    <w:rsid w:val="00FE2A46"/>
    <w:rsid w:val="00FE4B31"/>
    <w:rsid w:val="00FE77FB"/>
    <w:rsid w:val="00FF7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119C"/>
  <w15:chartTrackingRefBased/>
  <w15:docId w15:val="{19F7E8C9-8120-4868-9B89-E34675CEB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875"/>
    <w:rPr>
      <w:rFonts w:ascii="Segoe UI" w:hAnsi="Segoe UI" w:cs="Segoe UI"/>
      <w:sz w:val="18"/>
      <w:szCs w:val="18"/>
    </w:rPr>
  </w:style>
  <w:style w:type="paragraph" w:styleId="ListParagraph">
    <w:name w:val="List Paragraph"/>
    <w:basedOn w:val="Normal"/>
    <w:uiPriority w:val="34"/>
    <w:qFormat/>
    <w:rsid w:val="00A05589"/>
    <w:pPr>
      <w:ind w:left="720"/>
      <w:contextualSpacing/>
    </w:pPr>
  </w:style>
  <w:style w:type="character" w:styleId="Hyperlink">
    <w:name w:val="Hyperlink"/>
    <w:basedOn w:val="DefaultParagraphFont"/>
    <w:uiPriority w:val="99"/>
    <w:unhideWhenUsed/>
    <w:rsid w:val="004C31F2"/>
    <w:rPr>
      <w:color w:val="0000FF"/>
      <w:u w:val="single"/>
    </w:rPr>
  </w:style>
  <w:style w:type="character" w:styleId="UnresolvedMention">
    <w:name w:val="Unresolved Mention"/>
    <w:basedOn w:val="DefaultParagraphFont"/>
    <w:uiPriority w:val="99"/>
    <w:semiHidden/>
    <w:unhideWhenUsed/>
    <w:rsid w:val="00D816AA"/>
    <w:rPr>
      <w:color w:val="605E5C"/>
      <w:shd w:val="clear" w:color="auto" w:fill="E1DFDD"/>
    </w:rPr>
  </w:style>
  <w:style w:type="character" w:styleId="FollowedHyperlink">
    <w:name w:val="FollowedHyperlink"/>
    <w:basedOn w:val="DefaultParagraphFont"/>
    <w:uiPriority w:val="99"/>
    <w:semiHidden/>
    <w:unhideWhenUsed/>
    <w:rsid w:val="008B0DFB"/>
    <w:rPr>
      <w:color w:val="954F72" w:themeColor="followedHyperlink"/>
      <w:u w:val="single"/>
    </w:rPr>
  </w:style>
  <w:style w:type="paragraph" w:styleId="FootnoteText">
    <w:name w:val="footnote text"/>
    <w:basedOn w:val="Normal"/>
    <w:link w:val="FootnoteTextChar"/>
    <w:uiPriority w:val="99"/>
    <w:rsid w:val="00AB5701"/>
    <w:pPr>
      <w:spacing w:after="0" w:line="240" w:lineRule="auto"/>
    </w:pPr>
    <w:rPr>
      <w:rFonts w:ascii="Cambria" w:eastAsia="MS ??" w:hAnsi="Cambria" w:cs="Times New Roman"/>
      <w:sz w:val="24"/>
      <w:szCs w:val="24"/>
      <w:lang w:eastAsia="ja-JP"/>
    </w:rPr>
  </w:style>
  <w:style w:type="character" w:customStyle="1" w:styleId="FootnoteTextChar">
    <w:name w:val="Footnote Text Char"/>
    <w:basedOn w:val="DefaultParagraphFont"/>
    <w:link w:val="FootnoteText"/>
    <w:uiPriority w:val="99"/>
    <w:rsid w:val="00AB5701"/>
    <w:rPr>
      <w:rFonts w:ascii="Cambria" w:eastAsia="MS ??" w:hAnsi="Cambria" w:cs="Times New Roman"/>
      <w:sz w:val="24"/>
      <w:szCs w:val="24"/>
      <w:lang w:eastAsia="ja-JP"/>
    </w:rPr>
  </w:style>
  <w:style w:type="character" w:styleId="FootnoteReference">
    <w:name w:val="footnote reference"/>
    <w:basedOn w:val="DefaultParagraphFont"/>
    <w:uiPriority w:val="99"/>
    <w:rsid w:val="00AB5701"/>
    <w:rPr>
      <w:rFonts w:cs="Times New Roman"/>
      <w:vertAlign w:val="superscript"/>
    </w:rPr>
  </w:style>
  <w:style w:type="paragraph" w:customStyle="1" w:styleId="NumberedL2">
    <w:name w:val="Numbered L2"/>
    <w:basedOn w:val="Normal"/>
    <w:rsid w:val="00AB5701"/>
    <w:pPr>
      <w:numPr>
        <w:ilvl w:val="1"/>
        <w:numId w:val="10"/>
      </w:numPr>
      <w:spacing w:after="120" w:line="360" w:lineRule="auto"/>
      <w:jc w:val="both"/>
    </w:pPr>
    <w:rPr>
      <w:rFonts w:ascii="Arial" w:eastAsia="Times New Roman" w:hAnsi="Arial" w:cs="Times New Roman"/>
      <w:szCs w:val="24"/>
      <w:lang w:eastAsia="en-GB"/>
    </w:rPr>
  </w:style>
  <w:style w:type="paragraph" w:customStyle="1" w:styleId="NumberedL1">
    <w:name w:val="Numbered L1"/>
    <w:basedOn w:val="NumberedL2"/>
    <w:rsid w:val="00AB5701"/>
    <w:pPr>
      <w:numPr>
        <w:ilvl w:val="0"/>
      </w:numPr>
      <w:spacing w:before="120" w:line="240" w:lineRule="auto"/>
    </w:pPr>
    <w:rPr>
      <w:b/>
      <w:caps/>
    </w:rPr>
  </w:style>
  <w:style w:type="character" w:styleId="CommentReference">
    <w:name w:val="annotation reference"/>
    <w:basedOn w:val="DefaultParagraphFont"/>
    <w:uiPriority w:val="99"/>
    <w:semiHidden/>
    <w:unhideWhenUsed/>
    <w:rsid w:val="003C3BD4"/>
    <w:rPr>
      <w:sz w:val="16"/>
      <w:szCs w:val="16"/>
    </w:rPr>
  </w:style>
  <w:style w:type="paragraph" w:styleId="CommentText">
    <w:name w:val="annotation text"/>
    <w:basedOn w:val="Normal"/>
    <w:link w:val="CommentTextChar"/>
    <w:uiPriority w:val="99"/>
    <w:unhideWhenUsed/>
    <w:rsid w:val="003C3BD4"/>
    <w:pPr>
      <w:spacing w:line="240" w:lineRule="auto"/>
    </w:pPr>
    <w:rPr>
      <w:sz w:val="20"/>
      <w:szCs w:val="20"/>
    </w:rPr>
  </w:style>
  <w:style w:type="character" w:customStyle="1" w:styleId="CommentTextChar">
    <w:name w:val="Comment Text Char"/>
    <w:basedOn w:val="DefaultParagraphFont"/>
    <w:link w:val="CommentText"/>
    <w:uiPriority w:val="99"/>
    <w:rsid w:val="003C3BD4"/>
    <w:rPr>
      <w:sz w:val="20"/>
      <w:szCs w:val="20"/>
    </w:rPr>
  </w:style>
  <w:style w:type="paragraph" w:styleId="CommentSubject">
    <w:name w:val="annotation subject"/>
    <w:basedOn w:val="CommentText"/>
    <w:next w:val="CommentText"/>
    <w:link w:val="CommentSubjectChar"/>
    <w:uiPriority w:val="99"/>
    <w:semiHidden/>
    <w:unhideWhenUsed/>
    <w:rsid w:val="003C3BD4"/>
    <w:rPr>
      <w:b/>
      <w:bCs/>
    </w:rPr>
  </w:style>
  <w:style w:type="character" w:customStyle="1" w:styleId="CommentSubjectChar">
    <w:name w:val="Comment Subject Char"/>
    <w:basedOn w:val="CommentTextChar"/>
    <w:link w:val="CommentSubject"/>
    <w:uiPriority w:val="99"/>
    <w:semiHidden/>
    <w:rsid w:val="003C3BD4"/>
    <w:rPr>
      <w:b/>
      <w:bCs/>
      <w:sz w:val="20"/>
      <w:szCs w:val="20"/>
    </w:rPr>
  </w:style>
  <w:style w:type="paragraph" w:styleId="EndnoteText">
    <w:name w:val="endnote text"/>
    <w:basedOn w:val="Normal"/>
    <w:link w:val="EndnoteTextChar"/>
    <w:uiPriority w:val="99"/>
    <w:unhideWhenUsed/>
    <w:rsid w:val="004106ED"/>
    <w:pPr>
      <w:spacing w:after="0" w:line="240" w:lineRule="auto"/>
    </w:pPr>
    <w:rPr>
      <w:sz w:val="20"/>
      <w:szCs w:val="20"/>
    </w:rPr>
  </w:style>
  <w:style w:type="character" w:customStyle="1" w:styleId="EndnoteTextChar">
    <w:name w:val="Endnote Text Char"/>
    <w:basedOn w:val="DefaultParagraphFont"/>
    <w:link w:val="EndnoteText"/>
    <w:uiPriority w:val="99"/>
    <w:rsid w:val="004106ED"/>
    <w:rPr>
      <w:sz w:val="20"/>
      <w:szCs w:val="20"/>
    </w:rPr>
  </w:style>
  <w:style w:type="character" w:styleId="EndnoteReference">
    <w:name w:val="endnote reference"/>
    <w:basedOn w:val="DefaultParagraphFont"/>
    <w:uiPriority w:val="99"/>
    <w:semiHidden/>
    <w:unhideWhenUsed/>
    <w:rsid w:val="004106ED"/>
    <w:rPr>
      <w:vertAlign w:val="superscript"/>
    </w:rPr>
  </w:style>
  <w:style w:type="character" w:styleId="Strong">
    <w:name w:val="Strong"/>
    <w:basedOn w:val="DefaultParagraphFont"/>
    <w:uiPriority w:val="22"/>
    <w:qFormat/>
    <w:rsid w:val="00D16BDD"/>
    <w:rPr>
      <w:b/>
      <w:bCs/>
    </w:rPr>
  </w:style>
  <w:style w:type="paragraph" w:styleId="NormalWeb">
    <w:name w:val="Normal (Web)"/>
    <w:basedOn w:val="Normal"/>
    <w:uiPriority w:val="99"/>
    <w:semiHidden/>
    <w:unhideWhenUsed/>
    <w:rsid w:val="004E2A2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92339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93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492478">
      <w:bodyDiv w:val="1"/>
      <w:marLeft w:val="0"/>
      <w:marRight w:val="0"/>
      <w:marTop w:val="0"/>
      <w:marBottom w:val="0"/>
      <w:divBdr>
        <w:top w:val="none" w:sz="0" w:space="0" w:color="auto"/>
        <w:left w:val="none" w:sz="0" w:space="0" w:color="auto"/>
        <w:bottom w:val="none" w:sz="0" w:space="0" w:color="auto"/>
        <w:right w:val="none" w:sz="0" w:space="0" w:color="auto"/>
      </w:divBdr>
    </w:div>
    <w:div w:id="748499283">
      <w:bodyDiv w:val="1"/>
      <w:marLeft w:val="0"/>
      <w:marRight w:val="0"/>
      <w:marTop w:val="0"/>
      <w:marBottom w:val="0"/>
      <w:divBdr>
        <w:top w:val="none" w:sz="0" w:space="0" w:color="auto"/>
        <w:left w:val="none" w:sz="0" w:space="0" w:color="auto"/>
        <w:bottom w:val="none" w:sz="0" w:space="0" w:color="auto"/>
        <w:right w:val="none" w:sz="0" w:space="0" w:color="auto"/>
      </w:divBdr>
    </w:div>
    <w:div w:id="911550613">
      <w:bodyDiv w:val="1"/>
      <w:marLeft w:val="0"/>
      <w:marRight w:val="0"/>
      <w:marTop w:val="0"/>
      <w:marBottom w:val="0"/>
      <w:divBdr>
        <w:top w:val="none" w:sz="0" w:space="0" w:color="auto"/>
        <w:left w:val="none" w:sz="0" w:space="0" w:color="auto"/>
        <w:bottom w:val="none" w:sz="0" w:space="0" w:color="auto"/>
        <w:right w:val="none" w:sz="0" w:space="0" w:color="auto"/>
      </w:divBdr>
    </w:div>
    <w:div w:id="1614895761">
      <w:bodyDiv w:val="1"/>
      <w:marLeft w:val="0"/>
      <w:marRight w:val="0"/>
      <w:marTop w:val="0"/>
      <w:marBottom w:val="0"/>
      <w:divBdr>
        <w:top w:val="none" w:sz="0" w:space="0" w:color="auto"/>
        <w:left w:val="none" w:sz="0" w:space="0" w:color="auto"/>
        <w:bottom w:val="none" w:sz="0" w:space="0" w:color="auto"/>
        <w:right w:val="none" w:sz="0" w:space="0" w:color="auto"/>
      </w:divBdr>
    </w:div>
    <w:div w:id="162346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torativejustic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lation.gov.uk/ukpga/2020/17/section/57/enacte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ministryofjustice.github.io/security-guidance/supplier-corporate-i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ethical-assurance-guidance-for-social-research-in-governme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sentencingcouncil.org.uk/wp-content/uploads/SCReport.FINAL-Version-for-Publication-April-2018.pdf" TargetMode="External"/><Relationship Id="rId2" Type="http://schemas.openxmlformats.org/officeDocument/2006/relationships/hyperlink" Target="https://sentencingacademy.org.uk/wp-content/uploads/2021/01/The-Effectiveness-of-Sentencing-Options-1.pdf" TargetMode="External"/><Relationship Id="rId1" Type="http://schemas.openxmlformats.org/officeDocument/2006/relationships/hyperlink" Target="https://www.sentencingcouncil.org.uk/publications/item/strategic-objectives-2021-2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ED8B26101BCA41B8CAA9C7D0CAB250" ma:contentTypeVersion="13" ma:contentTypeDescription="Create a new document." ma:contentTypeScope="" ma:versionID="8de2db017a28639b035d949525985633">
  <xsd:schema xmlns:xsd="http://www.w3.org/2001/XMLSchema" xmlns:xs="http://www.w3.org/2001/XMLSchema" xmlns:p="http://schemas.microsoft.com/office/2006/metadata/properties" xmlns:ns3="07eca7b1-41cf-405d-ab9b-9852a2089dc6" xmlns:ns4="eba624c0-40c3-4cca-abda-92d66bdf49ec" targetNamespace="http://schemas.microsoft.com/office/2006/metadata/properties" ma:root="true" ma:fieldsID="9090989b6efb3c353dbc2657886a2d2e" ns3:_="" ns4:_="">
    <xsd:import namespace="07eca7b1-41cf-405d-ab9b-9852a2089dc6"/>
    <xsd:import namespace="eba624c0-40c3-4cca-abda-92d66bdf49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ca7b1-41cf-405d-ab9b-9852a2089dc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a624c0-40c3-4cca-abda-92d66bdf49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AC451-6692-42AD-B9DA-B840E2FAB3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63AB34-B5FC-40B4-A924-B6BC8AB73ECA}">
  <ds:schemaRefs>
    <ds:schemaRef ds:uri="http://schemas.microsoft.com/sharepoint/v3/contenttype/forms"/>
  </ds:schemaRefs>
</ds:datastoreItem>
</file>

<file path=customXml/itemProps3.xml><?xml version="1.0" encoding="utf-8"?>
<ds:datastoreItem xmlns:ds="http://schemas.openxmlformats.org/officeDocument/2006/customXml" ds:itemID="{D8BDEAE5-9FDF-43AE-8DA6-FF2FE1057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ca7b1-41cf-405d-ab9b-9852a2089dc6"/>
    <ds:schemaRef ds:uri="eba624c0-40c3-4cca-abda-92d66bdf4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B492DA-11F3-45B7-970B-C28E181EC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7</Pages>
  <Words>2296</Words>
  <Characters>13091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Peachey, Gail</dc:creator>
  <cp:keywords/>
  <dc:description/>
  <cp:lastModifiedBy>Marshall, Emma</cp:lastModifiedBy>
  <cp:revision>8</cp:revision>
  <dcterms:created xsi:type="dcterms:W3CDTF">2022-01-17T16:23:00Z</dcterms:created>
  <dcterms:modified xsi:type="dcterms:W3CDTF">2022-01-17T17:33:00Z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0x010100B9ED8B26101BCA41B8CAA9C7D0CAB250</vt:lpwstr>
  </property>
</Properties>
</file>